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B7C1" w14:textId="7C35F29E" w:rsidR="004A1EC9" w:rsidRDefault="004A1EC9" w:rsidP="00C900F4">
      <w:pPr>
        <w:tabs>
          <w:tab w:val="left" w:pos="7797"/>
        </w:tabs>
        <w:spacing w:after="0" w:line="240" w:lineRule="auto"/>
        <w:jc w:val="both"/>
        <w:rPr>
          <w:rFonts w:ascii="Arial" w:hAnsi="Arial" w:cs="Arial"/>
          <w:sz w:val="24"/>
          <w:szCs w:val="24"/>
        </w:rPr>
      </w:pPr>
      <w:bookmarkStart w:id="0" w:name="_GoBack"/>
      <w:bookmarkEnd w:id="0"/>
      <w:r w:rsidRPr="008D098A">
        <w:rPr>
          <w:rFonts w:ascii="Arial" w:hAnsi="Arial" w:cs="Arial"/>
          <w:i/>
          <w:noProof/>
          <w:sz w:val="24"/>
          <w:szCs w:val="24"/>
          <w:lang w:val="en-AU" w:eastAsia="en-AU"/>
        </w:rPr>
        <w:drawing>
          <wp:anchor distT="0" distB="0" distL="114300" distR="114300" simplePos="0" relativeHeight="251659264" behindDoc="0" locked="0" layoutInCell="1" allowOverlap="1" wp14:anchorId="229C781B" wp14:editId="67B87B9F">
            <wp:simplePos x="935665" y="1562986"/>
            <wp:positionH relativeFrom="column">
              <wp:align>left</wp:align>
            </wp:positionH>
            <wp:positionV relativeFrom="paragraph">
              <wp:align>top</wp:align>
            </wp:positionV>
            <wp:extent cx="5222433" cy="1905980"/>
            <wp:effectExtent l="0" t="0" r="0" b="0"/>
            <wp:wrapSquare wrapText="bothSides"/>
            <wp:docPr id="14"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anchor>
        </w:drawing>
      </w:r>
      <w:r w:rsidRPr="008D098A">
        <w:rPr>
          <w:rFonts w:ascii="Arial" w:hAnsi="Arial" w:cs="Arial"/>
          <w:sz w:val="24"/>
          <w:szCs w:val="24"/>
        </w:rPr>
        <w:br w:type="textWrapping" w:clear="all"/>
      </w:r>
    </w:p>
    <w:p w14:paraId="4867B706" w14:textId="540B3973" w:rsidR="00E9011C" w:rsidRDefault="00E9011C" w:rsidP="00C900F4">
      <w:pPr>
        <w:tabs>
          <w:tab w:val="left" w:pos="7797"/>
        </w:tabs>
        <w:spacing w:after="0" w:line="240" w:lineRule="auto"/>
        <w:jc w:val="both"/>
        <w:rPr>
          <w:rFonts w:ascii="Arial" w:hAnsi="Arial" w:cs="Arial"/>
          <w:sz w:val="24"/>
          <w:szCs w:val="24"/>
        </w:rPr>
      </w:pPr>
    </w:p>
    <w:p w14:paraId="4DA7E42B" w14:textId="3CE914F8" w:rsidR="00E9011C" w:rsidRDefault="00E9011C" w:rsidP="00C900F4">
      <w:pPr>
        <w:tabs>
          <w:tab w:val="left" w:pos="7797"/>
        </w:tabs>
        <w:spacing w:after="0" w:line="240" w:lineRule="auto"/>
        <w:jc w:val="both"/>
        <w:rPr>
          <w:rFonts w:ascii="Arial" w:hAnsi="Arial" w:cs="Arial"/>
          <w:sz w:val="24"/>
          <w:szCs w:val="24"/>
        </w:rPr>
      </w:pPr>
    </w:p>
    <w:p w14:paraId="542459C1" w14:textId="77777777" w:rsidR="004A1EC9" w:rsidRPr="008D098A" w:rsidRDefault="004A1EC9" w:rsidP="004A1EC9">
      <w:pPr>
        <w:spacing w:after="0" w:line="240" w:lineRule="auto"/>
        <w:jc w:val="both"/>
        <w:rPr>
          <w:rFonts w:ascii="Arial" w:hAnsi="Arial" w:cs="Arial"/>
          <w:sz w:val="24"/>
          <w:szCs w:val="24"/>
        </w:rPr>
      </w:pPr>
    </w:p>
    <w:p w14:paraId="11941782" w14:textId="77777777" w:rsidR="004A1EC9" w:rsidRPr="00D21EC3" w:rsidRDefault="004A1EC9" w:rsidP="004A1EC9">
      <w:pPr>
        <w:pStyle w:val="Title"/>
        <w:jc w:val="both"/>
        <w:rPr>
          <w:rFonts w:cs="Arial"/>
          <w:iCs/>
          <w:sz w:val="40"/>
          <w:szCs w:val="40"/>
          <w:u w:val="none"/>
          <w:lang w:eastAsia="en-GB"/>
        </w:rPr>
      </w:pPr>
      <w:r w:rsidRPr="00D21EC3">
        <w:rPr>
          <w:rFonts w:cs="Arial"/>
          <w:iCs/>
          <w:sz w:val="40"/>
          <w:szCs w:val="40"/>
          <w:u w:val="none"/>
          <w:lang w:eastAsia="en-GB"/>
        </w:rPr>
        <w:t>Technical Services Reports</w:t>
      </w:r>
    </w:p>
    <w:p w14:paraId="79569A42" w14:textId="77777777" w:rsidR="004A1EC9" w:rsidRPr="00D21EC3" w:rsidRDefault="004A1EC9" w:rsidP="004A1EC9">
      <w:pPr>
        <w:pStyle w:val="Title"/>
        <w:tabs>
          <w:tab w:val="left" w:pos="3366"/>
        </w:tabs>
        <w:jc w:val="both"/>
        <w:rPr>
          <w:rFonts w:cs="Arial"/>
          <w:b w:val="0"/>
          <w:sz w:val="36"/>
          <w:szCs w:val="36"/>
          <w:u w:val="none"/>
        </w:rPr>
      </w:pPr>
      <w:r w:rsidRPr="00D21EC3">
        <w:rPr>
          <w:rFonts w:cs="Arial"/>
          <w:b w:val="0"/>
          <w:sz w:val="36"/>
          <w:szCs w:val="36"/>
          <w:u w:val="none"/>
        </w:rPr>
        <w:tab/>
      </w:r>
    </w:p>
    <w:p w14:paraId="0A68D37C" w14:textId="69DD6C7E"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Committee Consideration – </w:t>
      </w:r>
      <w:r w:rsidR="006B3B08">
        <w:rPr>
          <w:rFonts w:cs="Arial"/>
          <w:iCs/>
          <w:sz w:val="28"/>
          <w:szCs w:val="36"/>
          <w:u w:val="none"/>
          <w:lang w:eastAsia="en-GB"/>
        </w:rPr>
        <w:t xml:space="preserve">3 December </w:t>
      </w:r>
      <w:r w:rsidR="00C240FA">
        <w:rPr>
          <w:rFonts w:cs="Arial"/>
          <w:iCs/>
          <w:sz w:val="28"/>
          <w:szCs w:val="36"/>
          <w:u w:val="none"/>
          <w:lang w:eastAsia="en-GB"/>
        </w:rPr>
        <w:t>2019</w:t>
      </w:r>
    </w:p>
    <w:p w14:paraId="7285F91C" w14:textId="374BC2C9"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Council Resolution – </w:t>
      </w:r>
      <w:r w:rsidR="006B3B08">
        <w:rPr>
          <w:rFonts w:cs="Arial"/>
          <w:iCs/>
          <w:sz w:val="28"/>
          <w:szCs w:val="36"/>
          <w:u w:val="none"/>
          <w:lang w:eastAsia="en-GB"/>
        </w:rPr>
        <w:t xml:space="preserve">17 December </w:t>
      </w:r>
      <w:r w:rsidR="00C240FA">
        <w:rPr>
          <w:rFonts w:cs="Arial"/>
          <w:iCs/>
          <w:sz w:val="28"/>
          <w:szCs w:val="36"/>
          <w:u w:val="none"/>
          <w:lang w:eastAsia="en-GB"/>
        </w:rPr>
        <w:t>2019</w:t>
      </w:r>
    </w:p>
    <w:p w14:paraId="18B2A8CD" w14:textId="77777777" w:rsidR="004A1EC9" w:rsidRPr="008D098A" w:rsidRDefault="004A1EC9" w:rsidP="004A1EC9">
      <w:pPr>
        <w:pStyle w:val="Title"/>
        <w:jc w:val="both"/>
        <w:rPr>
          <w:rFonts w:cs="Arial"/>
          <w:iCs/>
          <w:color w:val="003876"/>
          <w:szCs w:val="24"/>
          <w:u w:val="none"/>
          <w:lang w:eastAsia="en-GB"/>
        </w:rPr>
      </w:pPr>
    </w:p>
    <w:p w14:paraId="19027D3E" w14:textId="77777777" w:rsidR="004A1EC9" w:rsidRPr="008D098A" w:rsidRDefault="004A1EC9" w:rsidP="004A1EC9">
      <w:pPr>
        <w:pStyle w:val="Title"/>
        <w:jc w:val="both"/>
        <w:rPr>
          <w:rFonts w:cs="Arial"/>
          <w:i/>
          <w:iCs/>
          <w:color w:val="003876"/>
          <w:szCs w:val="24"/>
          <w:u w:val="none"/>
          <w:lang w:eastAsia="en-GB"/>
        </w:rPr>
      </w:pPr>
    </w:p>
    <w:p w14:paraId="0F8B72EB" w14:textId="77777777" w:rsidR="004A1EC9" w:rsidRPr="008D098A" w:rsidRDefault="004A1EC9" w:rsidP="004A1EC9">
      <w:pPr>
        <w:pStyle w:val="Title"/>
        <w:jc w:val="both"/>
        <w:rPr>
          <w:rFonts w:cs="Arial"/>
          <w:b w:val="0"/>
          <w:iCs/>
          <w:color w:val="003876"/>
          <w:szCs w:val="24"/>
          <w:u w:val="none"/>
          <w:lang w:eastAsia="en-GB"/>
        </w:rPr>
      </w:pPr>
    </w:p>
    <w:p w14:paraId="73C4481B" w14:textId="77777777" w:rsidR="004A1EC9" w:rsidRPr="008D098A" w:rsidRDefault="004A1EC9" w:rsidP="004A1EC9">
      <w:pPr>
        <w:pStyle w:val="Title"/>
        <w:jc w:val="both"/>
        <w:rPr>
          <w:rFonts w:cs="Arial"/>
          <w:szCs w:val="24"/>
          <w:u w:val="none"/>
        </w:rPr>
      </w:pPr>
      <w:r w:rsidRPr="008D098A">
        <w:rPr>
          <w:rFonts w:cs="Arial"/>
          <w:szCs w:val="24"/>
          <w:u w:val="none"/>
        </w:rPr>
        <w:t>Table of Contents</w:t>
      </w:r>
    </w:p>
    <w:p w14:paraId="4C0F307D" w14:textId="77777777" w:rsidR="004A1EC9" w:rsidRPr="008D098A" w:rsidRDefault="004A1EC9" w:rsidP="004A1EC9">
      <w:pPr>
        <w:spacing w:after="0" w:line="240" w:lineRule="auto"/>
        <w:jc w:val="both"/>
        <w:rPr>
          <w:rFonts w:ascii="Arial" w:hAnsi="Arial" w:cs="Arial"/>
          <w:sz w:val="24"/>
          <w:szCs w:val="24"/>
        </w:rPr>
      </w:pPr>
    </w:p>
    <w:p w14:paraId="7DC40ED6" w14:textId="454CE865" w:rsidR="004A1EC9" w:rsidRDefault="004A1EC9" w:rsidP="004A1EC9">
      <w:pPr>
        <w:tabs>
          <w:tab w:val="right" w:pos="8931"/>
        </w:tabs>
        <w:spacing w:after="0" w:line="240" w:lineRule="auto"/>
        <w:ind w:left="567"/>
        <w:jc w:val="both"/>
        <w:rPr>
          <w:rFonts w:ascii="Arial" w:hAnsi="Arial" w:cs="Arial"/>
          <w:sz w:val="24"/>
          <w:szCs w:val="24"/>
        </w:rPr>
      </w:pPr>
      <w:r w:rsidRPr="008D098A">
        <w:rPr>
          <w:rFonts w:ascii="Arial" w:hAnsi="Arial" w:cs="Arial"/>
          <w:sz w:val="24"/>
          <w:szCs w:val="24"/>
        </w:rPr>
        <w:t>Item No.</w:t>
      </w:r>
      <w:r w:rsidRPr="008D098A">
        <w:rPr>
          <w:rFonts w:ascii="Arial" w:hAnsi="Arial" w:cs="Arial"/>
          <w:sz w:val="24"/>
          <w:szCs w:val="24"/>
        </w:rPr>
        <w:tab/>
        <w:t>Page No.</w:t>
      </w:r>
    </w:p>
    <w:p w14:paraId="327C4B33" w14:textId="77777777" w:rsidR="00AE3EAE" w:rsidRPr="008D098A" w:rsidRDefault="00AE3EAE" w:rsidP="004A1EC9">
      <w:pPr>
        <w:tabs>
          <w:tab w:val="right" w:pos="8931"/>
        </w:tabs>
        <w:spacing w:after="0" w:line="240" w:lineRule="auto"/>
        <w:ind w:left="567"/>
        <w:jc w:val="both"/>
        <w:rPr>
          <w:rFonts w:ascii="Arial" w:hAnsi="Arial" w:cs="Arial"/>
          <w:sz w:val="24"/>
          <w:szCs w:val="24"/>
        </w:rPr>
      </w:pPr>
    </w:p>
    <w:sdt>
      <w:sdtPr>
        <w:rPr>
          <w:rFonts w:asciiTheme="minorHAnsi" w:hAnsiTheme="minorHAnsi" w:cstheme="minorBidi"/>
          <w:noProof w:val="0"/>
          <w:sz w:val="24"/>
          <w:szCs w:val="24"/>
          <w:lang w:val="en-GB"/>
        </w:rPr>
        <w:id w:val="1747833451"/>
        <w:docPartObj>
          <w:docPartGallery w:val="Table of Contents"/>
          <w:docPartUnique/>
        </w:docPartObj>
      </w:sdtPr>
      <w:sdtEndPr>
        <w:rPr>
          <w:b/>
          <w:bCs/>
        </w:rPr>
      </w:sdtEndPr>
      <w:sdtContent>
        <w:bookmarkStart w:id="1" w:name="_Hlk481494789" w:displacedByCustomXml="prev"/>
        <w:p w14:paraId="668E1482" w14:textId="1C667A6A" w:rsidR="00A956AD" w:rsidRDefault="004A1EC9">
          <w:pPr>
            <w:pStyle w:val="TOC1"/>
            <w:rPr>
              <w:rFonts w:asciiTheme="minorHAnsi" w:eastAsiaTheme="minorEastAsia" w:hAnsiTheme="minorHAnsi" w:cstheme="minorBidi"/>
              <w:lang w:eastAsia="en-AU"/>
            </w:rPr>
          </w:pPr>
          <w:r w:rsidRPr="008D098A">
            <w:rPr>
              <w:rFonts w:asciiTheme="minorHAnsi" w:hAnsiTheme="minorHAnsi" w:cstheme="minorBidi"/>
              <w:noProof w:val="0"/>
              <w:sz w:val="24"/>
              <w:szCs w:val="24"/>
            </w:rPr>
            <w:fldChar w:fldCharType="begin"/>
          </w:r>
          <w:r w:rsidRPr="008D098A">
            <w:rPr>
              <w:sz w:val="24"/>
              <w:szCs w:val="24"/>
            </w:rPr>
            <w:instrText xml:space="preserve"> TOC \o "1-3" \h \z \u </w:instrText>
          </w:r>
          <w:r w:rsidRPr="008D098A">
            <w:rPr>
              <w:rFonts w:asciiTheme="minorHAnsi" w:hAnsiTheme="minorHAnsi" w:cstheme="minorBidi"/>
              <w:noProof w:val="0"/>
              <w:sz w:val="24"/>
              <w:szCs w:val="24"/>
            </w:rPr>
            <w:fldChar w:fldCharType="separate"/>
          </w:r>
          <w:hyperlink w:anchor="_Toc25241305" w:history="1">
            <w:r w:rsidR="00A956AD" w:rsidRPr="00BA446D">
              <w:rPr>
                <w:rStyle w:val="Hyperlink"/>
              </w:rPr>
              <w:t xml:space="preserve">TS24.19 </w:t>
            </w:r>
            <w:r w:rsidR="00A956AD">
              <w:rPr>
                <w:rFonts w:asciiTheme="minorHAnsi" w:eastAsiaTheme="minorEastAsia" w:hAnsiTheme="minorHAnsi" w:cstheme="minorBidi"/>
                <w:lang w:eastAsia="en-AU"/>
              </w:rPr>
              <w:tab/>
            </w:r>
            <w:r w:rsidR="00A956AD" w:rsidRPr="00BA446D">
              <w:rPr>
                <w:rStyle w:val="Hyperlink"/>
              </w:rPr>
              <w:t>Montgomery Avenue – Leaning Wall</w:t>
            </w:r>
            <w:r w:rsidR="00A956AD">
              <w:rPr>
                <w:webHidden/>
              </w:rPr>
              <w:tab/>
            </w:r>
            <w:r w:rsidR="00A956AD">
              <w:rPr>
                <w:webHidden/>
              </w:rPr>
              <w:fldChar w:fldCharType="begin"/>
            </w:r>
            <w:r w:rsidR="00A956AD">
              <w:rPr>
                <w:webHidden/>
              </w:rPr>
              <w:instrText xml:space="preserve"> PAGEREF _Toc25241305 \h </w:instrText>
            </w:r>
            <w:r w:rsidR="00A956AD">
              <w:rPr>
                <w:webHidden/>
              </w:rPr>
            </w:r>
            <w:r w:rsidR="00A956AD">
              <w:rPr>
                <w:webHidden/>
              </w:rPr>
              <w:fldChar w:fldCharType="separate"/>
            </w:r>
            <w:r w:rsidR="00B36CCB">
              <w:rPr>
                <w:webHidden/>
              </w:rPr>
              <w:t>2</w:t>
            </w:r>
            <w:r w:rsidR="00A956AD">
              <w:rPr>
                <w:webHidden/>
              </w:rPr>
              <w:fldChar w:fldCharType="end"/>
            </w:r>
          </w:hyperlink>
        </w:p>
        <w:p w14:paraId="7A4F56E8" w14:textId="73B5A9EC" w:rsidR="00AE3EAE" w:rsidRDefault="004A1EC9" w:rsidP="004A1EC9">
          <w:r w:rsidRPr="008D098A">
            <w:rPr>
              <w:rFonts w:ascii="Arial" w:hAnsi="Arial" w:cs="Arial"/>
              <w:b/>
              <w:bCs/>
              <w:noProof/>
              <w:sz w:val="24"/>
              <w:szCs w:val="24"/>
            </w:rPr>
            <w:fldChar w:fldCharType="end"/>
          </w:r>
        </w:p>
      </w:sdtContent>
    </w:sdt>
    <w:bookmarkEnd w:id="1" w:displacedByCustomXml="prev"/>
    <w:p w14:paraId="45B45F52" w14:textId="77777777" w:rsidR="00AE3EAE" w:rsidRPr="00AE3EAE" w:rsidRDefault="00AE3EAE" w:rsidP="00AE3EAE"/>
    <w:p w14:paraId="76930521" w14:textId="77777777" w:rsidR="00AE3EAE" w:rsidRPr="00AE3EAE" w:rsidRDefault="00AE3EAE" w:rsidP="00AE3EAE"/>
    <w:p w14:paraId="76FBBF45" w14:textId="77777777" w:rsidR="00AE3EAE" w:rsidRPr="00AE3EAE" w:rsidRDefault="00AE3EAE" w:rsidP="00AE3EAE"/>
    <w:p w14:paraId="3110F2D3" w14:textId="77777777" w:rsidR="00AE3EAE" w:rsidRPr="00AE3EAE" w:rsidRDefault="00AE3EAE" w:rsidP="00AE3EAE"/>
    <w:p w14:paraId="1E7E6C8B" w14:textId="77777777" w:rsidR="00366C45" w:rsidRDefault="0061383D">
      <w:pPr>
        <w:spacing w:after="160" w:line="259" w:lineRule="auto"/>
      </w:pPr>
      <w:r>
        <w:br w:type="page"/>
      </w:r>
    </w:p>
    <w:tbl>
      <w:tblPr>
        <w:tblStyle w:val="TableGrid"/>
        <w:tblW w:w="0" w:type="auto"/>
        <w:tblInd w:w="108" w:type="dxa"/>
        <w:tblLook w:val="04A0" w:firstRow="1" w:lastRow="0" w:firstColumn="1" w:lastColumn="0" w:noHBand="0" w:noVBand="1"/>
      </w:tblPr>
      <w:tblGrid>
        <w:gridCol w:w="9134"/>
      </w:tblGrid>
      <w:tr w:rsidR="00366C45" w14:paraId="4CE747EE" w14:textId="77777777" w:rsidTr="007C15D1">
        <w:tc>
          <w:tcPr>
            <w:tcW w:w="9134" w:type="dxa"/>
          </w:tcPr>
          <w:p w14:paraId="7316CDEF" w14:textId="77777777" w:rsidR="00366C45" w:rsidRPr="002F2A01" w:rsidRDefault="00366C45" w:rsidP="00366C45">
            <w:pPr>
              <w:pStyle w:val="Heading1"/>
              <w:spacing w:before="0" w:line="240" w:lineRule="auto"/>
              <w:ind w:left="2610" w:hanging="2576"/>
              <w:jc w:val="both"/>
              <w:outlineLvl w:val="0"/>
              <w:rPr>
                <w:rFonts w:ascii="Arial" w:hAnsi="Arial" w:cs="Arial"/>
                <w:color w:val="auto"/>
                <w:lang w:val="en-AU"/>
              </w:rPr>
            </w:pPr>
            <w:bookmarkStart w:id="2" w:name="_Toc25241305"/>
            <w:r w:rsidRPr="00EA25D5">
              <w:rPr>
                <w:rFonts w:ascii="Arial" w:hAnsi="Arial" w:cs="Arial"/>
                <w:color w:val="auto"/>
                <w:lang w:val="en-AU"/>
              </w:rPr>
              <w:lastRenderedPageBreak/>
              <w:t xml:space="preserve">TS24.19 </w:t>
            </w:r>
            <w:r w:rsidRPr="00EA25D5">
              <w:rPr>
                <w:rFonts w:ascii="Arial" w:hAnsi="Arial" w:cs="Arial"/>
                <w:color w:val="auto"/>
                <w:lang w:val="en-AU"/>
              </w:rPr>
              <w:tab/>
            </w:r>
            <w:r>
              <w:rPr>
                <w:rFonts w:ascii="Arial" w:hAnsi="Arial" w:cs="Arial"/>
                <w:color w:val="auto"/>
                <w:lang w:val="en-AU"/>
              </w:rPr>
              <w:t>Montgomery Avenue – Leaning Wall</w:t>
            </w:r>
            <w:bookmarkEnd w:id="2"/>
          </w:p>
        </w:tc>
      </w:tr>
    </w:tbl>
    <w:p w14:paraId="5FBF43E9" w14:textId="77777777" w:rsidR="00366C45" w:rsidRPr="00DD5B71" w:rsidRDefault="00366C45" w:rsidP="00366C45">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94"/>
        <w:gridCol w:w="6440"/>
      </w:tblGrid>
      <w:tr w:rsidR="00366C45" w:rsidRPr="008A1B93" w14:paraId="2E055149" w14:textId="77777777" w:rsidTr="007C15D1">
        <w:tc>
          <w:tcPr>
            <w:tcW w:w="2694" w:type="dxa"/>
          </w:tcPr>
          <w:p w14:paraId="479D224D" w14:textId="77777777" w:rsidR="00366C45" w:rsidRPr="00DD5B71" w:rsidRDefault="00366C45" w:rsidP="00366C45">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7239C9F3" w14:textId="77777777" w:rsidR="00366C45" w:rsidRPr="008A1B93" w:rsidRDefault="00366C45" w:rsidP="00366C45">
            <w:pPr>
              <w:spacing w:after="0" w:line="240" w:lineRule="auto"/>
              <w:jc w:val="both"/>
              <w:rPr>
                <w:rFonts w:ascii="Arial" w:hAnsi="Arial" w:cs="Arial"/>
                <w:sz w:val="24"/>
                <w:szCs w:val="24"/>
                <w:lang w:val="en-AU"/>
              </w:rPr>
            </w:pPr>
            <w:r>
              <w:rPr>
                <w:rFonts w:ascii="Arial" w:hAnsi="Arial" w:cs="Arial"/>
                <w:sz w:val="24"/>
                <w:szCs w:val="24"/>
                <w:lang w:val="en-AU"/>
              </w:rPr>
              <w:t>3 December 2019</w:t>
            </w:r>
          </w:p>
        </w:tc>
      </w:tr>
      <w:tr w:rsidR="00366C45" w:rsidRPr="008A1B93" w14:paraId="709F3F49" w14:textId="77777777" w:rsidTr="007C15D1">
        <w:tc>
          <w:tcPr>
            <w:tcW w:w="2694" w:type="dxa"/>
          </w:tcPr>
          <w:p w14:paraId="1D0C277A" w14:textId="77777777" w:rsidR="00366C45" w:rsidRPr="00DD5B71" w:rsidRDefault="00366C45" w:rsidP="00366C45">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76533182" w14:textId="77777777" w:rsidR="00366C45" w:rsidRPr="008A1B93" w:rsidRDefault="00366C45" w:rsidP="00366C45">
            <w:pPr>
              <w:spacing w:after="0" w:line="240" w:lineRule="auto"/>
              <w:jc w:val="both"/>
              <w:rPr>
                <w:rFonts w:ascii="Arial" w:hAnsi="Arial" w:cs="Arial"/>
                <w:sz w:val="24"/>
                <w:szCs w:val="24"/>
                <w:lang w:val="en-AU"/>
              </w:rPr>
            </w:pPr>
            <w:r>
              <w:rPr>
                <w:rFonts w:ascii="Arial" w:hAnsi="Arial" w:cs="Arial"/>
                <w:sz w:val="24"/>
                <w:szCs w:val="24"/>
                <w:lang w:val="en-AU"/>
              </w:rPr>
              <w:t>17 December 2019</w:t>
            </w:r>
          </w:p>
        </w:tc>
      </w:tr>
      <w:tr w:rsidR="00366C45" w:rsidRPr="008A1B93" w14:paraId="3074A6C6" w14:textId="77777777" w:rsidTr="007C15D1">
        <w:tc>
          <w:tcPr>
            <w:tcW w:w="2694" w:type="dxa"/>
          </w:tcPr>
          <w:p w14:paraId="284BC57D" w14:textId="77777777" w:rsidR="00366C45" w:rsidRPr="00DD5B71" w:rsidRDefault="00366C45" w:rsidP="00366C45">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7DE40A86" w14:textId="77777777" w:rsidR="00366C45" w:rsidRPr="00140680" w:rsidRDefault="00366C45" w:rsidP="00366C45">
            <w:pPr>
              <w:spacing w:after="0" w:line="240" w:lineRule="auto"/>
              <w:jc w:val="both"/>
              <w:rPr>
                <w:rFonts w:ascii="Arial" w:hAnsi="Arial" w:cs="Arial"/>
                <w:sz w:val="24"/>
                <w:szCs w:val="24"/>
                <w:lang w:val="en-AU"/>
              </w:rPr>
            </w:pPr>
            <w:r w:rsidRPr="00140680">
              <w:rPr>
                <w:rFonts w:ascii="Arial" w:hAnsi="Arial" w:cs="Arial"/>
                <w:sz w:val="24"/>
                <w:szCs w:val="24"/>
                <w:lang w:val="en-AU"/>
              </w:rPr>
              <w:t>City of Nedlands</w:t>
            </w:r>
          </w:p>
        </w:tc>
      </w:tr>
      <w:tr w:rsidR="00366C45" w:rsidRPr="008A1B93" w14:paraId="0684026C" w14:textId="77777777" w:rsidTr="007C15D1">
        <w:tc>
          <w:tcPr>
            <w:tcW w:w="2694" w:type="dxa"/>
          </w:tcPr>
          <w:p w14:paraId="062EC995" w14:textId="77777777" w:rsidR="00366C45" w:rsidRPr="00DD5B71" w:rsidRDefault="00366C45" w:rsidP="00366C45">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4BF80FD3" w14:textId="77777777" w:rsidR="00366C45" w:rsidRPr="00E86F62" w:rsidRDefault="00366C45" w:rsidP="00366C45">
            <w:pPr>
              <w:pStyle w:val="Subsection"/>
              <w:tabs>
                <w:tab w:val="clear" w:pos="595"/>
                <w:tab w:val="clear" w:pos="879"/>
              </w:tabs>
              <w:spacing w:before="0" w:line="240" w:lineRule="auto"/>
              <w:ind w:left="0" w:firstLine="0"/>
              <w:rPr>
                <w:rFonts w:ascii="Arial" w:hAnsi="Arial" w:cs="Arial"/>
                <w:szCs w:val="24"/>
              </w:rPr>
            </w:pPr>
            <w:r>
              <w:rPr>
                <w:rFonts w:ascii="Arial" w:hAnsi="Arial" w:cs="Arial"/>
                <w:szCs w:val="24"/>
              </w:rPr>
              <w:t>Nil</w:t>
            </w:r>
          </w:p>
        </w:tc>
      </w:tr>
      <w:tr w:rsidR="00366C45" w:rsidRPr="008A1B93" w14:paraId="78CD231B" w14:textId="77777777" w:rsidTr="007C15D1">
        <w:tc>
          <w:tcPr>
            <w:tcW w:w="2694" w:type="dxa"/>
          </w:tcPr>
          <w:p w14:paraId="115DAAE0" w14:textId="77777777" w:rsidR="00366C45" w:rsidRPr="00DD5B71" w:rsidRDefault="00366C45" w:rsidP="00366C45">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51710B58" w14:textId="77777777" w:rsidR="00366C45" w:rsidRPr="008A1B93" w:rsidRDefault="00366C45" w:rsidP="00366C45">
            <w:pPr>
              <w:spacing w:after="0" w:line="240" w:lineRule="auto"/>
              <w:jc w:val="both"/>
              <w:rPr>
                <w:rFonts w:ascii="Arial" w:hAnsi="Arial" w:cs="Arial"/>
                <w:sz w:val="24"/>
                <w:szCs w:val="24"/>
                <w:lang w:val="en-AU"/>
              </w:rPr>
            </w:pPr>
            <w:r>
              <w:rPr>
                <w:rFonts w:ascii="Arial" w:hAnsi="Arial" w:cs="Arial"/>
                <w:sz w:val="24"/>
                <w:szCs w:val="24"/>
                <w:lang w:val="en-AU"/>
              </w:rPr>
              <w:t>Jim Duff</w:t>
            </w:r>
          </w:p>
        </w:tc>
      </w:tr>
      <w:tr w:rsidR="00366C45" w:rsidRPr="008A1B93" w14:paraId="071F96E6" w14:textId="77777777" w:rsidTr="007C15D1">
        <w:trPr>
          <w:trHeight w:val="796"/>
        </w:trPr>
        <w:tc>
          <w:tcPr>
            <w:tcW w:w="2694" w:type="dxa"/>
          </w:tcPr>
          <w:p w14:paraId="70C8B17A" w14:textId="77777777" w:rsidR="00366C45" w:rsidRPr="004454F4" w:rsidRDefault="00366C45" w:rsidP="00366C45">
            <w:pPr>
              <w:spacing w:after="0" w:line="240" w:lineRule="auto"/>
              <w:jc w:val="both"/>
              <w:rPr>
                <w:rFonts w:ascii="Arial" w:hAnsi="Arial" w:cs="Arial"/>
                <w:b/>
                <w:sz w:val="24"/>
                <w:szCs w:val="24"/>
                <w:lang w:val="en-AU"/>
              </w:rPr>
            </w:pPr>
            <w:r w:rsidRPr="004454F4">
              <w:rPr>
                <w:rFonts w:ascii="Arial" w:hAnsi="Arial" w:cs="Arial"/>
                <w:b/>
                <w:sz w:val="24"/>
                <w:szCs w:val="24"/>
                <w:lang w:val="en-AU"/>
              </w:rPr>
              <w:t>Attachments</w:t>
            </w:r>
          </w:p>
        </w:tc>
        <w:tc>
          <w:tcPr>
            <w:tcW w:w="6440" w:type="dxa"/>
          </w:tcPr>
          <w:p w14:paraId="5E4D7A19" w14:textId="77777777" w:rsidR="00366C45" w:rsidRPr="009C69E3" w:rsidRDefault="00366C45" w:rsidP="00366C45">
            <w:pPr>
              <w:numPr>
                <w:ilvl w:val="0"/>
                <w:numId w:val="1"/>
              </w:numPr>
              <w:spacing w:after="0" w:line="240" w:lineRule="auto"/>
              <w:ind w:left="426" w:hanging="426"/>
              <w:jc w:val="both"/>
              <w:rPr>
                <w:rFonts w:ascii="Arial" w:hAnsi="Arial" w:cs="Arial"/>
                <w:sz w:val="24"/>
                <w:szCs w:val="24"/>
                <w:lang w:val="en-US"/>
              </w:rPr>
            </w:pPr>
            <w:r w:rsidRPr="004454F4">
              <w:rPr>
                <w:rFonts w:ascii="Arial" w:hAnsi="Arial" w:cs="Arial"/>
                <w:sz w:val="24"/>
                <w:szCs w:val="24"/>
                <w:lang w:val="en-US"/>
              </w:rPr>
              <w:t xml:space="preserve">Mount Claremont Subdivision Drawings </w:t>
            </w:r>
            <w:r>
              <w:rPr>
                <w:rFonts w:ascii="Arial" w:hAnsi="Arial" w:cs="Arial"/>
                <w:sz w:val="24"/>
                <w:szCs w:val="24"/>
                <w:lang w:val="en-US"/>
              </w:rPr>
              <w:t>–</w:t>
            </w:r>
            <w:r w:rsidRPr="004454F4">
              <w:rPr>
                <w:rFonts w:ascii="Arial" w:hAnsi="Arial" w:cs="Arial"/>
                <w:sz w:val="24"/>
                <w:szCs w:val="24"/>
                <w:lang w:val="en-US"/>
              </w:rPr>
              <w:t xml:space="preserve"> </w:t>
            </w:r>
            <w:r w:rsidRPr="009C69E3">
              <w:rPr>
                <w:rFonts w:ascii="Arial" w:hAnsi="Arial" w:cs="Arial"/>
                <w:sz w:val="24"/>
                <w:szCs w:val="24"/>
                <w:lang w:val="en-US"/>
              </w:rPr>
              <w:t>Stage 7</w:t>
            </w:r>
          </w:p>
          <w:p w14:paraId="5D51F6C2" w14:textId="77777777" w:rsidR="00366C45" w:rsidRDefault="00366C45" w:rsidP="00366C45">
            <w:pPr>
              <w:numPr>
                <w:ilvl w:val="0"/>
                <w:numId w:val="1"/>
              </w:numPr>
              <w:spacing w:after="0" w:line="240" w:lineRule="auto"/>
              <w:ind w:left="426" w:hanging="426"/>
              <w:jc w:val="both"/>
              <w:rPr>
                <w:rFonts w:ascii="Arial" w:hAnsi="Arial" w:cs="Arial"/>
                <w:sz w:val="24"/>
                <w:szCs w:val="32"/>
                <w:lang w:val="en-US"/>
              </w:rPr>
            </w:pPr>
            <w:r w:rsidRPr="004454F4">
              <w:rPr>
                <w:rFonts w:ascii="Arial" w:hAnsi="Arial" w:cs="Arial"/>
                <w:sz w:val="24"/>
                <w:szCs w:val="32"/>
                <w:lang w:val="en-US"/>
              </w:rPr>
              <w:t>Temporary Footpath Drawing</w:t>
            </w:r>
          </w:p>
          <w:p w14:paraId="2C745CF9" w14:textId="77777777" w:rsidR="00366C45" w:rsidRPr="004454F4" w:rsidRDefault="00366C45" w:rsidP="00366C45">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lang w:val="en-US"/>
              </w:rPr>
              <w:t xml:space="preserve">Legal Advice from </w:t>
            </w:r>
            <w:proofErr w:type="spellStart"/>
            <w:r>
              <w:rPr>
                <w:rFonts w:ascii="Arial" w:hAnsi="Arial" w:cs="Arial"/>
                <w:sz w:val="24"/>
                <w:szCs w:val="32"/>
                <w:lang w:val="en-US"/>
              </w:rPr>
              <w:t>McLeods</w:t>
            </w:r>
            <w:proofErr w:type="spellEnd"/>
            <w:r>
              <w:rPr>
                <w:rFonts w:ascii="Arial" w:hAnsi="Arial" w:cs="Arial"/>
                <w:sz w:val="24"/>
                <w:szCs w:val="32"/>
                <w:lang w:val="en-US"/>
              </w:rPr>
              <w:t xml:space="preserve"> (CONFIDENTIAL)</w:t>
            </w:r>
          </w:p>
        </w:tc>
      </w:tr>
    </w:tbl>
    <w:p w14:paraId="61ECB23F" w14:textId="77777777" w:rsidR="00366C45" w:rsidRDefault="00366C45" w:rsidP="00366C45">
      <w:pPr>
        <w:spacing w:after="0" w:line="240" w:lineRule="auto"/>
        <w:jc w:val="both"/>
        <w:rPr>
          <w:rFonts w:ascii="Arial" w:hAnsi="Arial" w:cs="Arial"/>
          <w:b/>
          <w:sz w:val="24"/>
          <w:szCs w:val="32"/>
          <w:lang w:val="en-US"/>
        </w:rPr>
      </w:pPr>
    </w:p>
    <w:p w14:paraId="507EF9AC" w14:textId="77777777" w:rsidR="00366C45" w:rsidRPr="00AD73CC" w:rsidRDefault="00366C45" w:rsidP="00366C45">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323D0CB5" w14:textId="77777777" w:rsidR="00366C45" w:rsidRPr="00AD73CC" w:rsidRDefault="00366C45" w:rsidP="00366C45">
      <w:pPr>
        <w:spacing w:after="0" w:line="240" w:lineRule="auto"/>
        <w:jc w:val="both"/>
        <w:rPr>
          <w:rFonts w:ascii="Arial" w:hAnsi="Arial" w:cs="Arial"/>
          <w:b/>
          <w:sz w:val="24"/>
          <w:szCs w:val="32"/>
          <w:lang w:val="en-US"/>
        </w:rPr>
      </w:pPr>
    </w:p>
    <w:p w14:paraId="6B1D51B2" w14:textId="77777777" w:rsidR="00366C45" w:rsidRDefault="00366C45" w:rsidP="00366C45">
      <w:pPr>
        <w:spacing w:after="0" w:line="240" w:lineRule="auto"/>
        <w:jc w:val="both"/>
        <w:rPr>
          <w:rFonts w:ascii="Arial" w:hAnsi="Arial" w:cs="Arial"/>
          <w:sz w:val="24"/>
          <w:szCs w:val="24"/>
          <w:lang w:val="en-US"/>
        </w:rPr>
      </w:pPr>
      <w:r>
        <w:rPr>
          <w:rFonts w:ascii="Arial" w:hAnsi="Arial" w:cs="Arial"/>
          <w:sz w:val="24"/>
          <w:szCs w:val="24"/>
          <w:lang w:val="en-US"/>
        </w:rPr>
        <w:t xml:space="preserve">The purpose of this report is to advise Council of progress to date concerning reconstruction of the failing </w:t>
      </w:r>
      <w:r w:rsidRPr="000B7643">
        <w:rPr>
          <w:rFonts w:ascii="Arial" w:hAnsi="Arial" w:cs="Arial"/>
          <w:sz w:val="24"/>
          <w:szCs w:val="24"/>
          <w:lang w:val="en-US"/>
        </w:rPr>
        <w:t>section of boundary wall</w:t>
      </w:r>
      <w:r>
        <w:rPr>
          <w:rFonts w:ascii="Arial" w:hAnsi="Arial" w:cs="Arial"/>
          <w:sz w:val="24"/>
          <w:szCs w:val="24"/>
          <w:lang w:val="en-US"/>
        </w:rPr>
        <w:t xml:space="preserve"> </w:t>
      </w:r>
      <w:r w:rsidRPr="000B7643">
        <w:rPr>
          <w:rFonts w:ascii="Arial" w:hAnsi="Arial" w:cs="Arial"/>
          <w:sz w:val="24"/>
          <w:szCs w:val="24"/>
          <w:lang w:val="en-US"/>
        </w:rPr>
        <w:t>on the east side of Montgomery Avenue</w:t>
      </w:r>
      <w:r>
        <w:rPr>
          <w:rFonts w:ascii="Arial" w:hAnsi="Arial" w:cs="Arial"/>
          <w:sz w:val="24"/>
          <w:szCs w:val="24"/>
          <w:lang w:val="en-US"/>
        </w:rPr>
        <w:t>,</w:t>
      </w:r>
      <w:r w:rsidRPr="000B7643">
        <w:rPr>
          <w:rFonts w:ascii="Arial" w:hAnsi="Arial" w:cs="Arial"/>
          <w:sz w:val="24"/>
          <w:szCs w:val="24"/>
          <w:lang w:val="en-US"/>
        </w:rPr>
        <w:t xml:space="preserve"> between St Johns Wood Avenue South and Regents Boulevard</w:t>
      </w:r>
      <w:r>
        <w:rPr>
          <w:rFonts w:ascii="Arial" w:hAnsi="Arial" w:cs="Arial"/>
          <w:sz w:val="24"/>
          <w:szCs w:val="24"/>
          <w:lang w:val="en-US"/>
        </w:rPr>
        <w:t xml:space="preserve">, Mt Claremont, and seek approval to expend operational funds to construct a temporary alternative footpath.  </w:t>
      </w:r>
    </w:p>
    <w:p w14:paraId="5ED4009D" w14:textId="77777777" w:rsidR="00366C45" w:rsidRDefault="00366C45" w:rsidP="00366C45">
      <w:pPr>
        <w:spacing w:after="0" w:line="240" w:lineRule="auto"/>
        <w:jc w:val="both"/>
        <w:rPr>
          <w:rFonts w:ascii="Arial" w:hAnsi="Arial" w:cs="Arial"/>
          <w:sz w:val="24"/>
          <w:szCs w:val="24"/>
          <w:lang w:val="en-US"/>
        </w:rPr>
      </w:pPr>
    </w:p>
    <w:p w14:paraId="0628770F" w14:textId="77777777" w:rsidR="00366C45" w:rsidRPr="00AD73CC" w:rsidRDefault="00366C45" w:rsidP="00366C45">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596C1CC4" w14:textId="77777777" w:rsidR="00366C45" w:rsidRPr="00AD73CC" w:rsidRDefault="00366C45" w:rsidP="00366C45">
      <w:pPr>
        <w:spacing w:after="0" w:line="240" w:lineRule="auto"/>
        <w:jc w:val="both"/>
        <w:rPr>
          <w:rFonts w:ascii="Arial" w:hAnsi="Arial" w:cs="Arial"/>
          <w:b/>
          <w:sz w:val="24"/>
          <w:szCs w:val="32"/>
          <w:lang w:val="en-US"/>
        </w:rPr>
      </w:pPr>
    </w:p>
    <w:p w14:paraId="23986C63" w14:textId="77777777" w:rsidR="00366C45" w:rsidRDefault="00366C45" w:rsidP="00366C45">
      <w:pPr>
        <w:spacing w:after="0" w:line="240" w:lineRule="auto"/>
        <w:jc w:val="both"/>
        <w:rPr>
          <w:rFonts w:ascii="Arial" w:hAnsi="Arial" w:cs="Arial"/>
          <w:b/>
          <w:sz w:val="24"/>
          <w:szCs w:val="32"/>
          <w:lang w:val="en-US"/>
        </w:rPr>
      </w:pPr>
      <w:r w:rsidRPr="00D951C0">
        <w:rPr>
          <w:rFonts w:ascii="Arial" w:hAnsi="Arial" w:cs="Arial"/>
          <w:b/>
          <w:sz w:val="24"/>
          <w:szCs w:val="32"/>
          <w:lang w:val="en-US"/>
        </w:rPr>
        <w:t>Council</w:t>
      </w:r>
      <w:r>
        <w:rPr>
          <w:rFonts w:ascii="Arial" w:hAnsi="Arial" w:cs="Arial"/>
          <w:b/>
          <w:sz w:val="24"/>
          <w:szCs w:val="32"/>
          <w:lang w:val="en-US"/>
        </w:rPr>
        <w:t>:</w:t>
      </w:r>
    </w:p>
    <w:p w14:paraId="2982DBFF" w14:textId="77777777" w:rsidR="00366C45" w:rsidRPr="00DF09E0" w:rsidRDefault="00366C45" w:rsidP="00366C45">
      <w:pPr>
        <w:spacing w:after="0" w:line="240" w:lineRule="auto"/>
        <w:jc w:val="both"/>
        <w:rPr>
          <w:rFonts w:ascii="Arial" w:hAnsi="Arial" w:cs="Arial"/>
          <w:b/>
          <w:sz w:val="24"/>
          <w:szCs w:val="24"/>
        </w:rPr>
      </w:pPr>
    </w:p>
    <w:p w14:paraId="1C3E8ACC" w14:textId="77777777" w:rsidR="00366C45" w:rsidRDefault="00366C45" w:rsidP="00366C45">
      <w:pPr>
        <w:pStyle w:val="ListParagraph"/>
        <w:numPr>
          <w:ilvl w:val="0"/>
          <w:numId w:val="35"/>
        </w:numPr>
        <w:spacing w:after="0" w:line="240" w:lineRule="auto"/>
        <w:ind w:left="567" w:hanging="567"/>
        <w:jc w:val="both"/>
        <w:rPr>
          <w:rFonts w:ascii="Arial" w:hAnsi="Arial" w:cs="Arial"/>
          <w:b/>
          <w:sz w:val="24"/>
          <w:szCs w:val="24"/>
        </w:rPr>
      </w:pPr>
      <w:r w:rsidRPr="00F41157">
        <w:rPr>
          <w:rFonts w:ascii="Arial" w:hAnsi="Arial" w:cs="Arial"/>
          <w:b/>
          <w:sz w:val="24"/>
          <w:szCs w:val="24"/>
        </w:rPr>
        <w:t>Approve</w:t>
      </w:r>
      <w:r>
        <w:rPr>
          <w:rFonts w:ascii="Arial" w:hAnsi="Arial" w:cs="Arial"/>
          <w:b/>
          <w:sz w:val="24"/>
          <w:szCs w:val="24"/>
        </w:rPr>
        <w:t>s</w:t>
      </w:r>
      <w:r w:rsidRPr="00F41157">
        <w:rPr>
          <w:rFonts w:ascii="Arial" w:hAnsi="Arial" w:cs="Arial"/>
          <w:b/>
          <w:sz w:val="24"/>
          <w:szCs w:val="24"/>
        </w:rPr>
        <w:t xml:space="preserve"> construct</w:t>
      </w:r>
      <w:r>
        <w:rPr>
          <w:rFonts w:ascii="Arial" w:hAnsi="Arial" w:cs="Arial"/>
          <w:b/>
          <w:sz w:val="24"/>
          <w:szCs w:val="24"/>
        </w:rPr>
        <w:t>ion</w:t>
      </w:r>
      <w:r w:rsidRPr="00F41157">
        <w:rPr>
          <w:rFonts w:ascii="Arial" w:hAnsi="Arial" w:cs="Arial"/>
          <w:b/>
          <w:sz w:val="24"/>
          <w:szCs w:val="24"/>
        </w:rPr>
        <w:t xml:space="preserve"> </w:t>
      </w:r>
      <w:r>
        <w:rPr>
          <w:rFonts w:ascii="Arial" w:hAnsi="Arial" w:cs="Arial"/>
          <w:b/>
          <w:sz w:val="24"/>
          <w:szCs w:val="24"/>
        </w:rPr>
        <w:t>of</w:t>
      </w:r>
      <w:r w:rsidRPr="00F41157">
        <w:rPr>
          <w:rFonts w:ascii="Arial" w:hAnsi="Arial" w:cs="Arial"/>
          <w:b/>
          <w:sz w:val="24"/>
          <w:szCs w:val="24"/>
        </w:rPr>
        <w:t xml:space="preserve"> a temporary </w:t>
      </w:r>
      <w:r w:rsidRPr="00F41157">
        <w:rPr>
          <w:rFonts w:ascii="Arial" w:hAnsi="Arial" w:cs="Arial"/>
          <w:b/>
          <w:bCs/>
          <w:sz w:val="24"/>
          <w:szCs w:val="24"/>
        </w:rPr>
        <w:t xml:space="preserve">alternative </w:t>
      </w:r>
      <w:r w:rsidRPr="00F41157">
        <w:rPr>
          <w:rFonts w:ascii="Arial" w:hAnsi="Arial" w:cs="Arial"/>
          <w:b/>
          <w:sz w:val="24"/>
          <w:szCs w:val="24"/>
        </w:rPr>
        <w:t>footpath to address safety issues for pedestrians and school children on bikes</w:t>
      </w:r>
      <w:r>
        <w:rPr>
          <w:rFonts w:ascii="Arial" w:hAnsi="Arial" w:cs="Arial"/>
          <w:b/>
          <w:sz w:val="24"/>
          <w:szCs w:val="24"/>
        </w:rPr>
        <w:t>;</w:t>
      </w:r>
    </w:p>
    <w:p w14:paraId="265F80B0" w14:textId="77777777" w:rsidR="00366C45" w:rsidRPr="00F41157" w:rsidRDefault="00366C45" w:rsidP="00366C45">
      <w:pPr>
        <w:spacing w:after="0" w:line="240" w:lineRule="auto"/>
        <w:jc w:val="both"/>
        <w:rPr>
          <w:rFonts w:ascii="Arial" w:hAnsi="Arial" w:cs="Arial"/>
          <w:b/>
          <w:sz w:val="24"/>
          <w:szCs w:val="24"/>
        </w:rPr>
      </w:pPr>
    </w:p>
    <w:p w14:paraId="38D8ABD7" w14:textId="77777777" w:rsidR="00366C45" w:rsidRDefault="00366C45" w:rsidP="00366C45">
      <w:pPr>
        <w:pStyle w:val="ListParagraph"/>
        <w:numPr>
          <w:ilvl w:val="0"/>
          <w:numId w:val="35"/>
        </w:numPr>
        <w:spacing w:after="0" w:line="240" w:lineRule="auto"/>
        <w:ind w:left="567" w:hanging="567"/>
        <w:jc w:val="both"/>
        <w:rPr>
          <w:rFonts w:ascii="Arial" w:hAnsi="Arial" w:cs="Arial"/>
          <w:b/>
          <w:sz w:val="24"/>
          <w:szCs w:val="24"/>
        </w:rPr>
      </w:pPr>
      <w:r w:rsidRPr="00F41157">
        <w:rPr>
          <w:rFonts w:ascii="Arial" w:hAnsi="Arial" w:cs="Arial"/>
          <w:b/>
          <w:sz w:val="24"/>
          <w:szCs w:val="24"/>
        </w:rPr>
        <w:t>Approve</w:t>
      </w:r>
      <w:r>
        <w:rPr>
          <w:rFonts w:ascii="Arial" w:hAnsi="Arial" w:cs="Arial"/>
          <w:b/>
          <w:sz w:val="24"/>
          <w:szCs w:val="24"/>
        </w:rPr>
        <w:t>s</w:t>
      </w:r>
      <w:r w:rsidRPr="00F41157">
        <w:rPr>
          <w:rFonts w:ascii="Arial" w:hAnsi="Arial" w:cs="Arial"/>
          <w:b/>
          <w:sz w:val="24"/>
          <w:szCs w:val="24"/>
        </w:rPr>
        <w:t xml:space="preserve"> fund</w:t>
      </w:r>
      <w:r>
        <w:rPr>
          <w:rFonts w:ascii="Arial" w:hAnsi="Arial" w:cs="Arial"/>
          <w:b/>
          <w:sz w:val="24"/>
          <w:szCs w:val="24"/>
        </w:rPr>
        <w:t>ing of</w:t>
      </w:r>
      <w:r w:rsidRPr="00F41157">
        <w:rPr>
          <w:rFonts w:ascii="Arial" w:hAnsi="Arial" w:cs="Arial"/>
          <w:b/>
          <w:sz w:val="24"/>
          <w:szCs w:val="24"/>
        </w:rPr>
        <w:t xml:space="preserve"> the $10,000 cost for the temporary footpath construction</w:t>
      </w:r>
      <w:r>
        <w:rPr>
          <w:rFonts w:ascii="Arial" w:hAnsi="Arial" w:cs="Arial"/>
          <w:b/>
          <w:sz w:val="24"/>
          <w:szCs w:val="24"/>
        </w:rPr>
        <w:t xml:space="preserve"> from Technical Services Operational budget;</w:t>
      </w:r>
    </w:p>
    <w:p w14:paraId="6B453104" w14:textId="77777777" w:rsidR="00366C45" w:rsidRPr="00F41157" w:rsidRDefault="00366C45" w:rsidP="00366C45">
      <w:pPr>
        <w:spacing w:after="0" w:line="240" w:lineRule="auto"/>
        <w:jc w:val="both"/>
        <w:rPr>
          <w:rFonts w:ascii="Arial" w:hAnsi="Arial" w:cs="Arial"/>
          <w:b/>
          <w:sz w:val="24"/>
          <w:szCs w:val="24"/>
        </w:rPr>
      </w:pPr>
    </w:p>
    <w:p w14:paraId="58766575" w14:textId="77777777" w:rsidR="00366C45" w:rsidRPr="00F41157" w:rsidRDefault="00366C45" w:rsidP="00366C45">
      <w:pPr>
        <w:pStyle w:val="ListParagraph"/>
        <w:numPr>
          <w:ilvl w:val="0"/>
          <w:numId w:val="35"/>
        </w:numPr>
        <w:spacing w:after="0" w:line="240" w:lineRule="auto"/>
        <w:ind w:left="567" w:hanging="567"/>
        <w:jc w:val="both"/>
        <w:rPr>
          <w:rFonts w:ascii="Arial" w:hAnsi="Arial" w:cs="Arial"/>
          <w:b/>
          <w:sz w:val="24"/>
          <w:szCs w:val="24"/>
        </w:rPr>
      </w:pPr>
      <w:r>
        <w:rPr>
          <w:rFonts w:ascii="Arial" w:hAnsi="Arial" w:cs="Arial"/>
          <w:b/>
          <w:sz w:val="24"/>
          <w:szCs w:val="24"/>
        </w:rPr>
        <w:t>Requests the CEO to seek appropriate recovery of costs for the temporary footpath required due to the ongoing unsafe boundary wall at Montgomery Avenue, Mt Claremont; and</w:t>
      </w:r>
    </w:p>
    <w:p w14:paraId="511F0ED9" w14:textId="77777777" w:rsidR="00366C45" w:rsidRPr="005B401F" w:rsidRDefault="00366C45" w:rsidP="00366C45">
      <w:pPr>
        <w:pStyle w:val="ListParagraph"/>
        <w:rPr>
          <w:rFonts w:ascii="Arial" w:hAnsi="Arial" w:cs="Arial"/>
          <w:b/>
          <w:sz w:val="24"/>
          <w:szCs w:val="24"/>
        </w:rPr>
      </w:pPr>
    </w:p>
    <w:p w14:paraId="2F897067" w14:textId="77777777" w:rsidR="00366C45" w:rsidRPr="00F41157" w:rsidRDefault="00366C45" w:rsidP="00366C45">
      <w:pPr>
        <w:pStyle w:val="ListParagraph"/>
        <w:numPr>
          <w:ilvl w:val="0"/>
          <w:numId w:val="35"/>
        </w:numPr>
        <w:spacing w:after="0" w:line="240" w:lineRule="auto"/>
        <w:ind w:left="567" w:hanging="567"/>
        <w:jc w:val="both"/>
        <w:rPr>
          <w:rFonts w:ascii="Arial" w:hAnsi="Arial" w:cs="Arial"/>
          <w:b/>
          <w:sz w:val="24"/>
          <w:szCs w:val="24"/>
        </w:rPr>
      </w:pPr>
      <w:r>
        <w:rPr>
          <w:rFonts w:ascii="Arial" w:hAnsi="Arial" w:cs="Arial"/>
          <w:b/>
          <w:sz w:val="24"/>
          <w:szCs w:val="24"/>
        </w:rPr>
        <w:t>Approve Administration waiving the city component of the Development Application and Building Application fees associated with the demolition and reconstruction of the section of boundary wall.</w:t>
      </w:r>
    </w:p>
    <w:p w14:paraId="46A9E387" w14:textId="77777777" w:rsidR="00366C45" w:rsidRDefault="00366C45" w:rsidP="00366C45">
      <w:pPr>
        <w:spacing w:after="0" w:line="240" w:lineRule="auto"/>
        <w:jc w:val="both"/>
        <w:rPr>
          <w:rFonts w:ascii="Arial" w:hAnsi="Arial" w:cs="Arial"/>
          <w:b/>
          <w:sz w:val="24"/>
          <w:szCs w:val="24"/>
          <w:lang w:val="en-US"/>
        </w:rPr>
      </w:pPr>
    </w:p>
    <w:p w14:paraId="7E8A9026" w14:textId="77777777" w:rsidR="00366C45" w:rsidRDefault="00366C45" w:rsidP="00366C45">
      <w:pPr>
        <w:spacing w:after="0" w:line="240" w:lineRule="auto"/>
        <w:jc w:val="both"/>
        <w:rPr>
          <w:rFonts w:ascii="Arial" w:hAnsi="Arial" w:cs="Arial"/>
          <w:b/>
          <w:sz w:val="28"/>
          <w:szCs w:val="32"/>
          <w:lang w:val="en-US"/>
        </w:rPr>
      </w:pPr>
    </w:p>
    <w:p w14:paraId="24C90767" w14:textId="77777777" w:rsidR="00366C45" w:rsidRPr="00AD73CC" w:rsidRDefault="00366C45" w:rsidP="00366C45">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4F2DCF29" w14:textId="77777777" w:rsidR="00366C45" w:rsidRDefault="00366C45" w:rsidP="00366C45">
      <w:pPr>
        <w:spacing w:after="0" w:line="240" w:lineRule="auto"/>
        <w:jc w:val="both"/>
        <w:rPr>
          <w:rFonts w:ascii="Arial" w:hAnsi="Arial" w:cs="Arial"/>
          <w:sz w:val="24"/>
          <w:szCs w:val="32"/>
          <w:lang w:val="en-US"/>
        </w:rPr>
      </w:pPr>
    </w:p>
    <w:p w14:paraId="2B714272" w14:textId="77777777" w:rsidR="00366C45" w:rsidRPr="00C02DAE" w:rsidRDefault="00366C45" w:rsidP="00366C45">
      <w:pPr>
        <w:spacing w:after="0" w:line="240" w:lineRule="auto"/>
        <w:jc w:val="both"/>
        <w:rPr>
          <w:rFonts w:ascii="Arial" w:hAnsi="Arial" w:cs="Arial"/>
          <w:sz w:val="24"/>
          <w:szCs w:val="24"/>
          <w:lang w:val="en-US"/>
        </w:rPr>
      </w:pPr>
      <w:r>
        <w:rPr>
          <w:rFonts w:ascii="Arial" w:hAnsi="Arial" w:cs="Arial"/>
          <w:b/>
          <w:sz w:val="24"/>
          <w:szCs w:val="24"/>
          <w:lang w:val="en-US"/>
        </w:rPr>
        <w:t>Background</w:t>
      </w:r>
    </w:p>
    <w:p w14:paraId="330ECE21" w14:textId="77777777" w:rsidR="00366C45" w:rsidRPr="00AD73CC" w:rsidRDefault="00366C45" w:rsidP="00366C45">
      <w:pPr>
        <w:spacing w:after="0" w:line="240" w:lineRule="auto"/>
        <w:jc w:val="both"/>
        <w:rPr>
          <w:rFonts w:ascii="Arial" w:hAnsi="Arial" w:cs="Arial"/>
          <w:sz w:val="24"/>
          <w:szCs w:val="32"/>
          <w:lang w:val="en-US"/>
        </w:rPr>
      </w:pPr>
    </w:p>
    <w:p w14:paraId="5A06A31A" w14:textId="77777777" w:rsidR="00366C45" w:rsidRDefault="00366C45" w:rsidP="00366C45">
      <w:pPr>
        <w:spacing w:after="0" w:line="240" w:lineRule="auto"/>
        <w:jc w:val="both"/>
        <w:rPr>
          <w:rFonts w:ascii="Arial" w:hAnsi="Arial" w:cs="Arial"/>
          <w:sz w:val="24"/>
          <w:szCs w:val="32"/>
          <w:lang w:val="en-US"/>
        </w:rPr>
      </w:pPr>
      <w:r w:rsidRPr="3176DE18">
        <w:rPr>
          <w:rFonts w:ascii="Arial" w:hAnsi="Arial" w:cs="Arial"/>
          <w:sz w:val="24"/>
          <w:szCs w:val="24"/>
          <w:lang w:val="en-US"/>
        </w:rPr>
        <w:t xml:space="preserve">On 31 October 2017 it came to the City’s attention that a section of boundary wall </w:t>
      </w:r>
      <w:r>
        <w:rPr>
          <w:rFonts w:ascii="Arial" w:hAnsi="Arial" w:cs="Arial"/>
          <w:sz w:val="24"/>
          <w:szCs w:val="24"/>
          <w:lang w:val="en-US"/>
        </w:rPr>
        <w:t xml:space="preserve">on </w:t>
      </w:r>
      <w:r w:rsidRPr="3176DE18">
        <w:rPr>
          <w:rFonts w:ascii="Arial" w:hAnsi="Arial" w:cs="Arial"/>
          <w:sz w:val="24"/>
          <w:szCs w:val="24"/>
          <w:lang w:val="en-US"/>
        </w:rPr>
        <w:t>the east side of Montgomery Avenue between St Johns Wood Avenue South and Regents Boulevard was leaning and potentially presenting a hazard to the public.</w:t>
      </w:r>
      <w:r>
        <w:rPr>
          <w:rFonts w:ascii="Arial" w:hAnsi="Arial" w:cs="Arial"/>
          <w:sz w:val="24"/>
          <w:szCs w:val="24"/>
          <w:lang w:val="en-US"/>
        </w:rPr>
        <w:t xml:space="preserve"> </w:t>
      </w:r>
      <w:r>
        <w:rPr>
          <w:rFonts w:ascii="Arial" w:hAnsi="Arial" w:cs="Arial"/>
          <w:sz w:val="24"/>
          <w:szCs w:val="32"/>
          <w:lang w:val="en-US"/>
        </w:rPr>
        <w:t>To address this concern t</w:t>
      </w:r>
      <w:r w:rsidRPr="004E1DB6">
        <w:rPr>
          <w:rFonts w:ascii="Arial" w:hAnsi="Arial" w:cs="Arial"/>
          <w:sz w:val="24"/>
          <w:szCs w:val="32"/>
          <w:lang w:val="en-US"/>
        </w:rPr>
        <w:t xml:space="preserve">he City engaged Wood and Grieve Engineers (WGE) to investigate the </w:t>
      </w:r>
      <w:r w:rsidRPr="004E1DB6">
        <w:rPr>
          <w:rFonts w:ascii="Arial" w:hAnsi="Arial" w:cs="Arial"/>
          <w:sz w:val="24"/>
          <w:szCs w:val="32"/>
          <w:lang w:val="en-US"/>
        </w:rPr>
        <w:lastRenderedPageBreak/>
        <w:t>condition of the wall along its entire length on the road reserve side</w:t>
      </w:r>
      <w:r>
        <w:rPr>
          <w:rFonts w:ascii="Arial" w:hAnsi="Arial" w:cs="Arial"/>
          <w:sz w:val="24"/>
          <w:szCs w:val="32"/>
          <w:lang w:val="en-US"/>
        </w:rPr>
        <w:t xml:space="preserve">, </w:t>
      </w:r>
      <w:r w:rsidRPr="004E1DB6">
        <w:rPr>
          <w:rFonts w:ascii="Arial" w:hAnsi="Arial" w:cs="Arial"/>
          <w:sz w:val="24"/>
          <w:szCs w:val="32"/>
          <w:lang w:val="en-US"/>
        </w:rPr>
        <w:t xml:space="preserve">and one typical property on the private property side. </w:t>
      </w:r>
    </w:p>
    <w:p w14:paraId="4BABF17D" w14:textId="77777777" w:rsidR="00366C45" w:rsidRDefault="00366C45" w:rsidP="00366C45">
      <w:pPr>
        <w:spacing w:after="0" w:line="240" w:lineRule="auto"/>
        <w:jc w:val="both"/>
        <w:rPr>
          <w:rFonts w:ascii="Arial" w:hAnsi="Arial" w:cs="Arial"/>
          <w:sz w:val="24"/>
          <w:szCs w:val="32"/>
          <w:lang w:val="en-US"/>
        </w:rPr>
      </w:pPr>
    </w:p>
    <w:p w14:paraId="1E5C2878" w14:textId="77777777" w:rsidR="00366C45" w:rsidRDefault="00366C45" w:rsidP="00366C45">
      <w:pPr>
        <w:spacing w:after="0" w:line="240" w:lineRule="auto"/>
        <w:jc w:val="both"/>
        <w:rPr>
          <w:rFonts w:ascii="Arial" w:hAnsi="Arial" w:cs="Arial"/>
          <w:sz w:val="24"/>
          <w:szCs w:val="32"/>
          <w:lang w:val="en-US"/>
        </w:rPr>
      </w:pPr>
      <w:r w:rsidRPr="004E1DB6">
        <w:rPr>
          <w:rFonts w:ascii="Arial" w:hAnsi="Arial" w:cs="Arial"/>
          <w:sz w:val="24"/>
          <w:szCs w:val="32"/>
          <w:lang w:val="en-US"/>
        </w:rPr>
        <w:t xml:space="preserve">The WGE report provided a condition assessment of the wall and recommendations on repair. The recommendations included </w:t>
      </w:r>
      <w:r>
        <w:rPr>
          <w:rFonts w:ascii="Arial" w:hAnsi="Arial" w:cs="Arial"/>
          <w:sz w:val="24"/>
          <w:szCs w:val="32"/>
          <w:lang w:val="en-US"/>
        </w:rPr>
        <w:t xml:space="preserve">undertaking a more detailed survey of the wall to determine the extent of the out of plumb sections. Piers out of plumb by more than 70mm and walls out of plumb by more than 20mm were recommended to be taken down and rebuilt. The survey revealed that all 15 properties are in breach of the maximum wall lean criteria. </w:t>
      </w:r>
    </w:p>
    <w:p w14:paraId="50895830" w14:textId="77777777" w:rsidR="00366C45" w:rsidRDefault="00366C45" w:rsidP="00366C45">
      <w:pPr>
        <w:spacing w:after="0" w:line="240" w:lineRule="auto"/>
        <w:jc w:val="both"/>
        <w:rPr>
          <w:rFonts w:ascii="Arial" w:hAnsi="Arial" w:cs="Arial"/>
          <w:sz w:val="24"/>
          <w:szCs w:val="32"/>
          <w:lang w:val="en-US"/>
        </w:rPr>
      </w:pPr>
    </w:p>
    <w:p w14:paraId="4009060D"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 xml:space="preserve">Letters were sent to all 15 property owners on 19 November 2018 advising of the WGE recommendations and the requirement for them to repair their walls at their expense. The Manager Infrastructure Services met with several residents at 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office on 29 November 2018 to present the structural engineer’s recommendations and attempt to facilitate an agreement between the residents to reconstruct the wall. </w:t>
      </w:r>
      <w:r w:rsidRPr="00DB124B">
        <w:rPr>
          <w:rFonts w:ascii="Arial" w:hAnsi="Arial" w:cs="Arial"/>
          <w:sz w:val="24"/>
          <w:szCs w:val="32"/>
          <w:lang w:val="en-US"/>
        </w:rPr>
        <w:t xml:space="preserve">Due to the potential safety issues </w:t>
      </w:r>
      <w:r>
        <w:rPr>
          <w:rFonts w:ascii="Arial" w:hAnsi="Arial" w:cs="Arial"/>
          <w:sz w:val="24"/>
          <w:szCs w:val="32"/>
          <w:lang w:val="en-US"/>
        </w:rPr>
        <w:t>the Montgomery Avenue footpath from St Johns Wood Boulevard (south) to Regents Boulevard was closed to the public with signs and bunting on 10 December 2018.</w:t>
      </w:r>
    </w:p>
    <w:p w14:paraId="3539E7AE" w14:textId="77777777" w:rsidR="00366C45" w:rsidRDefault="00366C45" w:rsidP="00366C45">
      <w:pPr>
        <w:spacing w:after="0" w:line="240" w:lineRule="auto"/>
        <w:jc w:val="both"/>
        <w:rPr>
          <w:rFonts w:ascii="Arial" w:hAnsi="Arial" w:cs="Arial"/>
          <w:sz w:val="24"/>
          <w:szCs w:val="32"/>
          <w:lang w:val="en-US"/>
        </w:rPr>
      </w:pPr>
    </w:p>
    <w:p w14:paraId="0979D894" w14:textId="77777777" w:rsidR="00366C45" w:rsidRDefault="00366C45" w:rsidP="00366C45">
      <w:pPr>
        <w:spacing w:after="0" w:line="240" w:lineRule="auto"/>
        <w:jc w:val="both"/>
        <w:rPr>
          <w:rFonts w:ascii="Arial" w:hAnsi="Arial" w:cs="Arial"/>
          <w:sz w:val="24"/>
          <w:szCs w:val="24"/>
          <w:lang w:val="en-US"/>
        </w:rPr>
      </w:pPr>
      <w:r>
        <w:rPr>
          <w:rFonts w:ascii="Arial" w:hAnsi="Arial" w:cs="Arial"/>
          <w:sz w:val="24"/>
          <w:szCs w:val="32"/>
          <w:lang w:val="en-US"/>
        </w:rPr>
        <w:t xml:space="preserve">The residents were issued with a Notice under Section 3.25 of the Local Government Act on 15 May 2019 requiring them to repair the limestone and masonry wall within 60 days. </w:t>
      </w:r>
      <w:r w:rsidRPr="00180867">
        <w:rPr>
          <w:rFonts w:ascii="Arial" w:hAnsi="Arial" w:cs="Arial"/>
          <w:sz w:val="24"/>
          <w:szCs w:val="32"/>
          <w:lang w:val="en-US"/>
        </w:rPr>
        <w:t>The Notice was subsequently extended until 30 June 2019 to allow the owners more time to arrange quotes from building contractors.</w:t>
      </w:r>
      <w:r>
        <w:rPr>
          <w:rFonts w:ascii="Arial" w:hAnsi="Arial" w:cs="Arial"/>
          <w:sz w:val="24"/>
          <w:szCs w:val="32"/>
          <w:lang w:val="en-US"/>
        </w:rPr>
        <w:t xml:space="preserve">  The residents engaged WGE to complete a more detailed inspection of the wall and provide a design and specification to reconstruct the wall. The residents have provided design drawings and a specification to reconstruct the boundary wall prepared by Wood and Grieve Engineers. The residents </w:t>
      </w:r>
      <w:r w:rsidRPr="00934E4B">
        <w:rPr>
          <w:rFonts w:ascii="Arial" w:hAnsi="Arial" w:cs="Arial"/>
          <w:sz w:val="24"/>
          <w:szCs w:val="32"/>
          <w:lang w:val="en-US"/>
        </w:rPr>
        <w:t>have</w:t>
      </w:r>
      <w:r>
        <w:rPr>
          <w:rFonts w:ascii="Arial" w:hAnsi="Arial" w:cs="Arial"/>
          <w:sz w:val="24"/>
          <w:szCs w:val="32"/>
          <w:lang w:val="en-US"/>
        </w:rPr>
        <w:t xml:space="preserve"> provided three quotes for reconstruction of the wall from building contractors and are seeking financial assistance from </w:t>
      </w:r>
      <w:proofErr w:type="spellStart"/>
      <w:r>
        <w:rPr>
          <w:rFonts w:ascii="Arial" w:hAnsi="Arial" w:cs="Arial"/>
          <w:sz w:val="24"/>
          <w:szCs w:val="32"/>
          <w:lang w:val="en-US"/>
        </w:rPr>
        <w:t>Landcorp</w:t>
      </w:r>
      <w:proofErr w:type="spellEnd"/>
      <w:r>
        <w:rPr>
          <w:rFonts w:ascii="Arial" w:hAnsi="Arial" w:cs="Arial"/>
          <w:sz w:val="24"/>
          <w:szCs w:val="32"/>
          <w:lang w:val="en-US"/>
        </w:rPr>
        <w:t>/</w:t>
      </w:r>
      <w:proofErr w:type="spellStart"/>
      <w:r>
        <w:rPr>
          <w:rFonts w:ascii="Arial" w:hAnsi="Arial" w:cs="Arial"/>
          <w:sz w:val="24"/>
          <w:szCs w:val="32"/>
          <w:lang w:val="en-US"/>
        </w:rPr>
        <w:t>DevelopmentWA</w:t>
      </w:r>
      <w:proofErr w:type="spellEnd"/>
      <w:r>
        <w:rPr>
          <w:rFonts w:ascii="Arial" w:hAnsi="Arial" w:cs="Arial"/>
          <w:sz w:val="24"/>
          <w:szCs w:val="32"/>
          <w:lang w:val="en-US"/>
        </w:rPr>
        <w:t xml:space="preserve"> who undertook the development of the land.</w:t>
      </w:r>
    </w:p>
    <w:p w14:paraId="22765B7E" w14:textId="77777777" w:rsidR="00366C45" w:rsidRDefault="00366C45" w:rsidP="00366C45">
      <w:pPr>
        <w:spacing w:after="0" w:line="240" w:lineRule="auto"/>
        <w:jc w:val="both"/>
        <w:rPr>
          <w:rFonts w:ascii="Arial" w:hAnsi="Arial" w:cs="Arial"/>
          <w:sz w:val="24"/>
          <w:szCs w:val="24"/>
          <w:lang w:val="en-US"/>
        </w:rPr>
      </w:pPr>
    </w:p>
    <w:p w14:paraId="31A0AD51" w14:textId="77777777" w:rsidR="00366C45" w:rsidRDefault="00366C45" w:rsidP="00366C45">
      <w:pPr>
        <w:spacing w:after="0" w:line="240" w:lineRule="auto"/>
        <w:jc w:val="both"/>
        <w:rPr>
          <w:rFonts w:ascii="Arial" w:hAnsi="Arial" w:cs="Arial"/>
          <w:sz w:val="24"/>
          <w:szCs w:val="24"/>
          <w:lang w:val="en-US"/>
        </w:rPr>
      </w:pPr>
      <w:r w:rsidRPr="00180867">
        <w:rPr>
          <w:rFonts w:ascii="Arial" w:hAnsi="Arial" w:cs="Arial"/>
          <w:sz w:val="24"/>
          <w:szCs w:val="24"/>
          <w:lang w:val="en-US"/>
        </w:rPr>
        <w:t>Given the complexity associated with rectifying the wall</w:t>
      </w:r>
      <w:r>
        <w:rPr>
          <w:rFonts w:ascii="Arial" w:hAnsi="Arial" w:cs="Arial"/>
          <w:sz w:val="24"/>
          <w:szCs w:val="24"/>
          <w:lang w:val="en-US"/>
        </w:rPr>
        <w:t>,</w:t>
      </w:r>
      <w:r w:rsidRPr="00180867">
        <w:rPr>
          <w:rFonts w:ascii="Arial" w:hAnsi="Arial" w:cs="Arial"/>
          <w:sz w:val="24"/>
          <w:szCs w:val="24"/>
          <w:lang w:val="en-US"/>
        </w:rPr>
        <w:t xml:space="preserve"> the City </w:t>
      </w:r>
      <w:r>
        <w:rPr>
          <w:rFonts w:ascii="Arial" w:hAnsi="Arial" w:cs="Arial"/>
          <w:sz w:val="24"/>
          <w:szCs w:val="24"/>
          <w:lang w:val="en-US"/>
        </w:rPr>
        <w:t xml:space="preserve">has been liaising </w:t>
      </w:r>
      <w:r w:rsidRPr="00180867">
        <w:rPr>
          <w:rFonts w:ascii="Arial" w:hAnsi="Arial" w:cs="Arial"/>
          <w:sz w:val="24"/>
          <w:szCs w:val="24"/>
          <w:lang w:val="en-US"/>
        </w:rPr>
        <w:t xml:space="preserve">with residents for </w:t>
      </w:r>
      <w:r>
        <w:rPr>
          <w:rFonts w:ascii="Arial" w:hAnsi="Arial" w:cs="Arial"/>
          <w:sz w:val="24"/>
          <w:szCs w:val="24"/>
          <w:lang w:val="en-US"/>
        </w:rPr>
        <w:t xml:space="preserve">approximately </w:t>
      </w:r>
      <w:r w:rsidRPr="00180867">
        <w:rPr>
          <w:rFonts w:ascii="Arial" w:hAnsi="Arial" w:cs="Arial"/>
          <w:sz w:val="24"/>
          <w:szCs w:val="24"/>
          <w:lang w:val="en-US"/>
        </w:rPr>
        <w:t xml:space="preserve">12 months to </w:t>
      </w:r>
      <w:r>
        <w:rPr>
          <w:rFonts w:ascii="Arial" w:hAnsi="Arial" w:cs="Arial"/>
          <w:sz w:val="24"/>
          <w:szCs w:val="24"/>
          <w:lang w:val="en-US"/>
        </w:rPr>
        <w:t xml:space="preserve">arrange </w:t>
      </w:r>
      <w:r w:rsidRPr="00180867">
        <w:rPr>
          <w:rFonts w:ascii="Arial" w:hAnsi="Arial" w:cs="Arial"/>
          <w:sz w:val="24"/>
          <w:szCs w:val="24"/>
          <w:lang w:val="en-US"/>
        </w:rPr>
        <w:t>the</w:t>
      </w:r>
      <w:r>
        <w:rPr>
          <w:rFonts w:ascii="Arial" w:hAnsi="Arial" w:cs="Arial"/>
          <w:sz w:val="24"/>
          <w:szCs w:val="24"/>
          <w:lang w:val="en-US"/>
        </w:rPr>
        <w:t xml:space="preserve"> necessary </w:t>
      </w:r>
      <w:r w:rsidRPr="00180867">
        <w:rPr>
          <w:rFonts w:ascii="Arial" w:hAnsi="Arial" w:cs="Arial"/>
          <w:sz w:val="24"/>
          <w:szCs w:val="24"/>
          <w:lang w:val="en-US"/>
        </w:rPr>
        <w:t xml:space="preserve">repairs.  </w:t>
      </w:r>
    </w:p>
    <w:p w14:paraId="7C25CD45" w14:textId="77777777" w:rsidR="00366C45" w:rsidRDefault="00366C45" w:rsidP="00366C45">
      <w:pPr>
        <w:spacing w:after="0" w:line="240" w:lineRule="auto"/>
        <w:jc w:val="both"/>
        <w:rPr>
          <w:rFonts w:ascii="Arial" w:hAnsi="Arial" w:cs="Arial"/>
          <w:b/>
          <w:bCs/>
          <w:sz w:val="24"/>
          <w:szCs w:val="32"/>
          <w:lang w:val="en-US"/>
        </w:rPr>
      </w:pPr>
    </w:p>
    <w:p w14:paraId="5140CFE5" w14:textId="77777777" w:rsidR="00366C45" w:rsidRDefault="00366C45" w:rsidP="00366C45">
      <w:pPr>
        <w:spacing w:after="0" w:line="240" w:lineRule="auto"/>
        <w:jc w:val="both"/>
        <w:rPr>
          <w:rFonts w:ascii="Arial" w:hAnsi="Arial" w:cs="Arial"/>
          <w:b/>
          <w:bCs/>
          <w:sz w:val="24"/>
          <w:szCs w:val="32"/>
          <w:lang w:val="en-US"/>
        </w:rPr>
      </w:pPr>
      <w:r>
        <w:rPr>
          <w:rFonts w:ascii="Arial" w:hAnsi="Arial" w:cs="Arial"/>
          <w:b/>
          <w:bCs/>
          <w:sz w:val="24"/>
          <w:szCs w:val="32"/>
          <w:lang w:val="en-US"/>
        </w:rPr>
        <w:t>Boundary Wall Reconstruction</w:t>
      </w:r>
    </w:p>
    <w:p w14:paraId="3E745989" w14:textId="77777777" w:rsidR="00366C45" w:rsidRDefault="00366C45" w:rsidP="00366C45">
      <w:pPr>
        <w:spacing w:after="0" w:line="240" w:lineRule="auto"/>
        <w:jc w:val="both"/>
        <w:rPr>
          <w:rFonts w:ascii="Arial" w:hAnsi="Arial" w:cs="Arial"/>
          <w:b/>
          <w:bCs/>
          <w:sz w:val="24"/>
          <w:szCs w:val="32"/>
          <w:lang w:val="en-US"/>
        </w:rPr>
      </w:pPr>
    </w:p>
    <w:p w14:paraId="109BB257" w14:textId="77777777" w:rsidR="00366C45" w:rsidRDefault="00366C45" w:rsidP="00366C45">
      <w:pPr>
        <w:spacing w:after="0" w:line="240" w:lineRule="auto"/>
        <w:jc w:val="both"/>
        <w:rPr>
          <w:rFonts w:ascii="Arial" w:hAnsi="Arial" w:cs="Arial"/>
          <w:sz w:val="24"/>
          <w:szCs w:val="24"/>
          <w:lang w:val="en-US"/>
        </w:rPr>
      </w:pPr>
      <w:r w:rsidRPr="3176DE18">
        <w:rPr>
          <w:rFonts w:ascii="Arial" w:hAnsi="Arial" w:cs="Arial"/>
          <w:sz w:val="24"/>
          <w:szCs w:val="24"/>
          <w:lang w:val="en-US"/>
        </w:rPr>
        <w:t xml:space="preserve">WGE have provided engineering design drawings for the reconstruction of the screen wall. WGE identified in their investigation that the underlying limestone retaining wall was not constructed in accordance with </w:t>
      </w:r>
      <w:proofErr w:type="spellStart"/>
      <w:r w:rsidRPr="3176DE18">
        <w:rPr>
          <w:rFonts w:ascii="Arial" w:hAnsi="Arial" w:cs="Arial"/>
          <w:sz w:val="24"/>
          <w:szCs w:val="24"/>
          <w:lang w:val="en-US"/>
        </w:rPr>
        <w:t>Landcorp’s</w:t>
      </w:r>
      <w:proofErr w:type="spellEnd"/>
      <w:r w:rsidRPr="3176DE18">
        <w:rPr>
          <w:rFonts w:ascii="Arial" w:hAnsi="Arial" w:cs="Arial"/>
          <w:sz w:val="24"/>
          <w:szCs w:val="24"/>
          <w:lang w:val="en-US"/>
        </w:rPr>
        <w:t xml:space="preserve"> 1993 subdivision drawings</w:t>
      </w:r>
      <w:r>
        <w:rPr>
          <w:rFonts w:ascii="Arial" w:hAnsi="Arial" w:cs="Arial"/>
          <w:sz w:val="24"/>
          <w:szCs w:val="24"/>
          <w:lang w:val="en-US"/>
        </w:rPr>
        <w:t xml:space="preserve">. </w:t>
      </w:r>
      <w:r w:rsidRPr="3176DE18">
        <w:rPr>
          <w:rFonts w:ascii="Arial" w:hAnsi="Arial" w:cs="Arial"/>
          <w:sz w:val="24"/>
          <w:szCs w:val="24"/>
          <w:lang w:val="en-US"/>
        </w:rPr>
        <w:t>Reconstruction of the wall will require grout injection into the soil behind the retaining wall. The subdivision drawings for Stage 7 of the Mount Claremont Subdivision are provided in Attachment 1.</w:t>
      </w:r>
    </w:p>
    <w:p w14:paraId="401577B7" w14:textId="77777777" w:rsidR="00366C45" w:rsidRDefault="00366C45" w:rsidP="00366C45">
      <w:pPr>
        <w:spacing w:after="0" w:line="240" w:lineRule="auto"/>
        <w:jc w:val="both"/>
        <w:rPr>
          <w:rFonts w:ascii="Arial" w:hAnsi="Arial" w:cs="Arial"/>
          <w:sz w:val="24"/>
          <w:szCs w:val="32"/>
          <w:lang w:val="en-US"/>
        </w:rPr>
      </w:pPr>
    </w:p>
    <w:p w14:paraId="129E8598" w14:textId="77777777" w:rsidR="00366C45" w:rsidRPr="008274AA" w:rsidRDefault="00366C45" w:rsidP="00366C45">
      <w:pPr>
        <w:spacing w:after="0" w:line="240" w:lineRule="auto"/>
        <w:jc w:val="both"/>
        <w:rPr>
          <w:rFonts w:ascii="Arial" w:hAnsi="Arial" w:cs="Arial"/>
          <w:sz w:val="24"/>
          <w:szCs w:val="32"/>
          <w:lang w:val="en-US"/>
        </w:rPr>
      </w:pPr>
      <w:r w:rsidRPr="008274AA">
        <w:rPr>
          <w:rFonts w:ascii="Arial" w:hAnsi="Arial" w:cs="Arial"/>
          <w:sz w:val="24"/>
          <w:szCs w:val="32"/>
          <w:lang w:val="en-US"/>
        </w:rPr>
        <w:t xml:space="preserve">The residents sought quotes from three building contractors ranging from $532,430 to $833,292, including GST. Copies of the quotes have been provided to the City. The residents have requested the City contribute towards the reconstruction of the wall and as advised during the public meeting this </w:t>
      </w:r>
      <w:r w:rsidRPr="008274AA">
        <w:rPr>
          <w:rFonts w:ascii="Arial" w:hAnsi="Arial" w:cs="Arial"/>
          <w:sz w:val="24"/>
          <w:szCs w:val="24"/>
          <w:lang w:val="en-US"/>
        </w:rPr>
        <w:t xml:space="preserve">remains a matter for the owner, their insurer and the developer to resolve. It is not the responsibility of the ratepayers to fund private owners’ repairs and any agreement fund the work </w:t>
      </w:r>
      <w:r w:rsidRPr="008274AA">
        <w:rPr>
          <w:rFonts w:ascii="Arial" w:hAnsi="Arial" w:cs="Arial"/>
          <w:sz w:val="24"/>
          <w:szCs w:val="32"/>
          <w:lang w:val="en-US"/>
        </w:rPr>
        <w:t xml:space="preserve">could </w:t>
      </w:r>
      <w:r w:rsidRPr="008274AA">
        <w:rPr>
          <w:rFonts w:ascii="Arial" w:hAnsi="Arial" w:cs="Arial"/>
          <w:sz w:val="24"/>
          <w:szCs w:val="24"/>
          <w:lang w:val="en-US"/>
        </w:rPr>
        <w:t xml:space="preserve">set an undesirable precedent for similar claims where boundary walls </w:t>
      </w:r>
      <w:proofErr w:type="spellStart"/>
      <w:r w:rsidRPr="008274AA">
        <w:rPr>
          <w:rFonts w:ascii="Arial" w:hAnsi="Arial" w:cs="Arial"/>
          <w:sz w:val="24"/>
          <w:szCs w:val="24"/>
          <w:lang w:val="en-US"/>
        </w:rPr>
        <w:t>abut</w:t>
      </w:r>
      <w:proofErr w:type="spellEnd"/>
      <w:r w:rsidRPr="008274AA">
        <w:rPr>
          <w:rFonts w:ascii="Arial" w:hAnsi="Arial" w:cs="Arial"/>
          <w:sz w:val="24"/>
          <w:szCs w:val="24"/>
          <w:lang w:val="en-US"/>
        </w:rPr>
        <w:t xml:space="preserve"> the road reserve. It could also expose the City to future liability for any quality issues associated with the proposed design and/or construction.</w:t>
      </w:r>
    </w:p>
    <w:p w14:paraId="1D9D3407" w14:textId="77777777" w:rsidR="00366C45" w:rsidRPr="0028208A" w:rsidRDefault="00366C45" w:rsidP="00366C45">
      <w:pPr>
        <w:spacing w:after="0" w:line="240" w:lineRule="auto"/>
        <w:jc w:val="both"/>
        <w:rPr>
          <w:rFonts w:ascii="Arial" w:hAnsi="Arial" w:cs="Arial"/>
          <w:b/>
          <w:bCs/>
          <w:sz w:val="24"/>
          <w:szCs w:val="32"/>
          <w:lang w:val="en-US"/>
        </w:rPr>
      </w:pPr>
      <w:proofErr w:type="spellStart"/>
      <w:r w:rsidRPr="0028208A">
        <w:rPr>
          <w:rFonts w:ascii="Arial" w:hAnsi="Arial" w:cs="Arial"/>
          <w:b/>
          <w:bCs/>
          <w:sz w:val="24"/>
          <w:szCs w:val="32"/>
          <w:lang w:val="en-US"/>
        </w:rPr>
        <w:lastRenderedPageBreak/>
        <w:t>Landcorp</w:t>
      </w:r>
      <w:proofErr w:type="spellEnd"/>
    </w:p>
    <w:p w14:paraId="32E1ADC3" w14:textId="77777777" w:rsidR="00366C45" w:rsidRDefault="00366C45" w:rsidP="00366C45">
      <w:pPr>
        <w:spacing w:after="0" w:line="240" w:lineRule="auto"/>
        <w:jc w:val="both"/>
        <w:rPr>
          <w:rFonts w:ascii="Arial" w:hAnsi="Arial" w:cs="Arial"/>
          <w:sz w:val="24"/>
          <w:szCs w:val="32"/>
          <w:lang w:val="en-US"/>
        </w:rPr>
      </w:pPr>
    </w:p>
    <w:p w14:paraId="16D3D4AE"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The City understands the limestone retaining component of the wall was constructed as part of the original subdivision works in approximately 1993,</w:t>
      </w:r>
      <w:r w:rsidRPr="00AE04D5">
        <w:rPr>
          <w:rFonts w:ascii="Arial" w:hAnsi="Arial" w:cs="Arial"/>
          <w:sz w:val="24"/>
          <w:szCs w:val="32"/>
          <w:lang w:val="en-US"/>
        </w:rPr>
        <w:t xml:space="preserve"> </w:t>
      </w:r>
      <w:r>
        <w:rPr>
          <w:rFonts w:ascii="Arial" w:hAnsi="Arial" w:cs="Arial"/>
          <w:sz w:val="24"/>
          <w:szCs w:val="32"/>
          <w:lang w:val="en-US"/>
        </w:rPr>
        <w:t xml:space="preserve">based on the subdivision drawings. It also understood that </w:t>
      </w:r>
      <w:proofErr w:type="spellStart"/>
      <w:r>
        <w:rPr>
          <w:rFonts w:ascii="Arial" w:hAnsi="Arial" w:cs="Arial"/>
          <w:sz w:val="24"/>
          <w:szCs w:val="32"/>
          <w:lang w:val="en-US"/>
        </w:rPr>
        <w:t>Landcorp</w:t>
      </w:r>
      <w:proofErr w:type="spellEnd"/>
      <w:r>
        <w:rPr>
          <w:rFonts w:ascii="Arial" w:hAnsi="Arial" w:cs="Arial"/>
          <w:sz w:val="24"/>
          <w:szCs w:val="32"/>
          <w:lang w:val="en-US"/>
        </w:rPr>
        <w:t xml:space="preserve"> constructed the decorative brick fence on top of the limestone wall as part of </w:t>
      </w:r>
      <w:r w:rsidRPr="00DB124B">
        <w:rPr>
          <w:rFonts w:ascii="Arial" w:hAnsi="Arial" w:cs="Arial"/>
          <w:sz w:val="24"/>
          <w:szCs w:val="32"/>
          <w:lang w:val="en-US"/>
        </w:rPr>
        <w:t>subsequent</w:t>
      </w:r>
      <w:r w:rsidRPr="00D247F8">
        <w:rPr>
          <w:rFonts w:ascii="Arial" w:hAnsi="Arial" w:cs="Arial"/>
          <w:color w:val="FF0000"/>
          <w:sz w:val="24"/>
          <w:szCs w:val="32"/>
          <w:lang w:val="en-US"/>
        </w:rPr>
        <w:t xml:space="preserve"> </w:t>
      </w:r>
      <w:r>
        <w:rPr>
          <w:rFonts w:ascii="Arial" w:hAnsi="Arial" w:cs="Arial"/>
          <w:sz w:val="24"/>
          <w:szCs w:val="32"/>
          <w:lang w:val="en-US"/>
        </w:rPr>
        <w:t>estate development works, with the date of these works unknown as the works did not require an approval from the City.</w:t>
      </w:r>
    </w:p>
    <w:p w14:paraId="5792CB96"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 xml:space="preserve"> </w:t>
      </w:r>
    </w:p>
    <w:p w14:paraId="3599120F"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 xml:space="preserve">The City sent a letter to </w:t>
      </w:r>
      <w:proofErr w:type="spellStart"/>
      <w:r>
        <w:rPr>
          <w:rFonts w:ascii="Arial" w:hAnsi="Arial" w:cs="Arial"/>
          <w:sz w:val="24"/>
          <w:szCs w:val="32"/>
          <w:lang w:val="en-US"/>
        </w:rPr>
        <w:t>Landcorp</w:t>
      </w:r>
      <w:proofErr w:type="spellEnd"/>
      <w:r>
        <w:rPr>
          <w:rFonts w:ascii="Arial" w:hAnsi="Arial" w:cs="Arial"/>
          <w:sz w:val="24"/>
          <w:szCs w:val="32"/>
          <w:lang w:val="en-US"/>
        </w:rPr>
        <w:t xml:space="preserve"> on 12 December 2018 requesting a funding contribution to reconstruct the wall. A letter was received from </w:t>
      </w:r>
      <w:proofErr w:type="spellStart"/>
      <w:r>
        <w:rPr>
          <w:rFonts w:ascii="Arial" w:hAnsi="Arial" w:cs="Arial"/>
          <w:sz w:val="24"/>
          <w:szCs w:val="32"/>
          <w:lang w:val="en-US"/>
        </w:rPr>
        <w:t>Landcorp</w:t>
      </w:r>
      <w:proofErr w:type="spellEnd"/>
      <w:r>
        <w:rPr>
          <w:rFonts w:ascii="Arial" w:hAnsi="Arial" w:cs="Arial"/>
          <w:sz w:val="24"/>
          <w:szCs w:val="32"/>
          <w:lang w:val="en-US"/>
        </w:rPr>
        <w:t xml:space="preserve"> on 31 January 2019 advising that </w:t>
      </w:r>
      <w:proofErr w:type="spellStart"/>
      <w:r>
        <w:rPr>
          <w:rFonts w:ascii="Arial" w:hAnsi="Arial" w:cs="Arial"/>
          <w:sz w:val="24"/>
          <w:szCs w:val="32"/>
          <w:lang w:val="en-US"/>
        </w:rPr>
        <w:t>Landcorp</w:t>
      </w:r>
      <w:proofErr w:type="spellEnd"/>
      <w:r>
        <w:rPr>
          <w:rFonts w:ascii="Arial" w:hAnsi="Arial" w:cs="Arial"/>
          <w:sz w:val="24"/>
          <w:szCs w:val="32"/>
          <w:lang w:val="en-US"/>
        </w:rPr>
        <w:t xml:space="preserve"> does not accept any responsibility for the condition of the wall and is not willing to contribute funding. A letter was subsequently sent to the residents on 14 February 2019 advising them of </w:t>
      </w:r>
      <w:proofErr w:type="spellStart"/>
      <w:r>
        <w:rPr>
          <w:rFonts w:ascii="Arial" w:hAnsi="Arial" w:cs="Arial"/>
          <w:sz w:val="24"/>
          <w:szCs w:val="32"/>
          <w:lang w:val="en-US"/>
        </w:rPr>
        <w:t>Landcorp’s</w:t>
      </w:r>
      <w:proofErr w:type="spellEnd"/>
      <w:r>
        <w:rPr>
          <w:rFonts w:ascii="Arial" w:hAnsi="Arial" w:cs="Arial"/>
          <w:sz w:val="24"/>
          <w:szCs w:val="32"/>
          <w:lang w:val="en-US"/>
        </w:rPr>
        <w:t xml:space="preserve"> response. </w:t>
      </w:r>
    </w:p>
    <w:p w14:paraId="4C5697C0" w14:textId="77777777" w:rsidR="00366C45" w:rsidRDefault="00366C45" w:rsidP="00366C45">
      <w:pPr>
        <w:spacing w:after="0" w:line="240" w:lineRule="auto"/>
        <w:jc w:val="both"/>
        <w:rPr>
          <w:rFonts w:ascii="Arial" w:hAnsi="Arial" w:cs="Arial"/>
          <w:sz w:val="24"/>
          <w:szCs w:val="32"/>
          <w:lang w:val="en-US"/>
        </w:rPr>
      </w:pPr>
    </w:p>
    <w:p w14:paraId="31087379" w14:textId="77777777" w:rsidR="00366C45" w:rsidRPr="0012743E" w:rsidRDefault="00366C45" w:rsidP="00366C45">
      <w:pPr>
        <w:spacing w:after="0" w:line="240" w:lineRule="auto"/>
        <w:jc w:val="both"/>
        <w:rPr>
          <w:rFonts w:ascii="Arial" w:hAnsi="Arial" w:cs="Arial"/>
          <w:b/>
          <w:bCs/>
          <w:sz w:val="24"/>
          <w:szCs w:val="32"/>
          <w:lang w:val="en-US"/>
        </w:rPr>
      </w:pPr>
      <w:r w:rsidRPr="0012743E">
        <w:rPr>
          <w:rFonts w:ascii="Arial" w:hAnsi="Arial" w:cs="Arial"/>
          <w:b/>
          <w:bCs/>
          <w:sz w:val="24"/>
          <w:szCs w:val="32"/>
          <w:lang w:val="en-US"/>
        </w:rPr>
        <w:t xml:space="preserve">Meeting with </w:t>
      </w:r>
      <w:r>
        <w:rPr>
          <w:rFonts w:ascii="Arial" w:hAnsi="Arial" w:cs="Arial"/>
          <w:b/>
          <w:bCs/>
          <w:sz w:val="24"/>
          <w:szCs w:val="32"/>
          <w:lang w:val="en-US"/>
        </w:rPr>
        <w:t xml:space="preserve">Residents, </w:t>
      </w:r>
      <w:proofErr w:type="spellStart"/>
      <w:r>
        <w:rPr>
          <w:rFonts w:ascii="Arial" w:hAnsi="Arial" w:cs="Arial"/>
          <w:b/>
          <w:bCs/>
          <w:sz w:val="24"/>
          <w:szCs w:val="32"/>
          <w:lang w:val="en-US"/>
        </w:rPr>
        <w:t>Councillors</w:t>
      </w:r>
      <w:proofErr w:type="spellEnd"/>
      <w:r>
        <w:rPr>
          <w:rFonts w:ascii="Arial" w:hAnsi="Arial" w:cs="Arial"/>
          <w:b/>
          <w:bCs/>
          <w:sz w:val="24"/>
          <w:szCs w:val="32"/>
          <w:lang w:val="en-US"/>
        </w:rPr>
        <w:t xml:space="preserve"> and </w:t>
      </w:r>
      <w:proofErr w:type="spellStart"/>
      <w:r w:rsidRPr="0012743E">
        <w:rPr>
          <w:rFonts w:ascii="Arial" w:hAnsi="Arial" w:cs="Arial"/>
          <w:b/>
          <w:bCs/>
          <w:sz w:val="24"/>
          <w:szCs w:val="32"/>
          <w:lang w:val="en-US"/>
        </w:rPr>
        <w:t>Landcorp</w:t>
      </w:r>
      <w:proofErr w:type="spellEnd"/>
      <w:r>
        <w:rPr>
          <w:rFonts w:ascii="Arial" w:hAnsi="Arial" w:cs="Arial"/>
          <w:b/>
          <w:bCs/>
          <w:sz w:val="24"/>
          <w:szCs w:val="32"/>
          <w:lang w:val="en-US"/>
        </w:rPr>
        <w:t xml:space="preserve"> on</w:t>
      </w:r>
      <w:r w:rsidRPr="0012743E">
        <w:rPr>
          <w:rFonts w:ascii="Arial" w:hAnsi="Arial" w:cs="Arial"/>
          <w:b/>
          <w:bCs/>
          <w:sz w:val="24"/>
          <w:szCs w:val="32"/>
          <w:lang w:val="en-US"/>
        </w:rPr>
        <w:t xml:space="preserve"> 7 November 2019</w:t>
      </w:r>
    </w:p>
    <w:p w14:paraId="2C42B0D1" w14:textId="77777777" w:rsidR="00366C45" w:rsidRDefault="00366C45" w:rsidP="00366C45">
      <w:pPr>
        <w:spacing w:after="0" w:line="240" w:lineRule="auto"/>
        <w:jc w:val="both"/>
        <w:rPr>
          <w:rFonts w:ascii="Arial" w:hAnsi="Arial" w:cs="Arial"/>
          <w:sz w:val="24"/>
          <w:szCs w:val="32"/>
          <w:lang w:val="en-US"/>
        </w:rPr>
      </w:pPr>
    </w:p>
    <w:p w14:paraId="1585FCD3" w14:textId="77777777" w:rsidR="00366C45" w:rsidRDefault="00366C45" w:rsidP="00366C45">
      <w:pPr>
        <w:spacing w:after="0" w:line="240" w:lineRule="auto"/>
        <w:jc w:val="both"/>
        <w:rPr>
          <w:rFonts w:ascii="Arial" w:hAnsi="Arial" w:cs="Arial"/>
          <w:sz w:val="24"/>
          <w:szCs w:val="24"/>
          <w:lang w:val="en-US"/>
        </w:rPr>
      </w:pPr>
      <w:r w:rsidRPr="3176DE18">
        <w:rPr>
          <w:rFonts w:ascii="Arial" w:hAnsi="Arial" w:cs="Arial"/>
          <w:sz w:val="24"/>
          <w:szCs w:val="24"/>
          <w:lang w:val="en-US"/>
        </w:rPr>
        <w:t xml:space="preserve">The City met with the residents, ward </w:t>
      </w:r>
      <w:proofErr w:type="spellStart"/>
      <w:r w:rsidRPr="3176DE18">
        <w:rPr>
          <w:rFonts w:ascii="Arial" w:hAnsi="Arial" w:cs="Arial"/>
          <w:sz w:val="24"/>
          <w:szCs w:val="24"/>
          <w:lang w:val="en-US"/>
        </w:rPr>
        <w:t>Council</w:t>
      </w:r>
      <w:r>
        <w:rPr>
          <w:rFonts w:ascii="Arial" w:hAnsi="Arial" w:cs="Arial"/>
          <w:sz w:val="24"/>
          <w:szCs w:val="24"/>
          <w:lang w:val="en-US"/>
        </w:rPr>
        <w:t>l</w:t>
      </w:r>
      <w:r w:rsidRPr="3176DE18">
        <w:rPr>
          <w:rFonts w:ascii="Arial" w:hAnsi="Arial" w:cs="Arial"/>
          <w:sz w:val="24"/>
          <w:szCs w:val="24"/>
          <w:lang w:val="en-US"/>
        </w:rPr>
        <w:t>ors</w:t>
      </w:r>
      <w:proofErr w:type="spellEnd"/>
      <w:r w:rsidRPr="3176DE18">
        <w:rPr>
          <w:rFonts w:ascii="Arial" w:hAnsi="Arial" w:cs="Arial"/>
          <w:sz w:val="24"/>
          <w:szCs w:val="24"/>
          <w:lang w:val="en-US"/>
        </w:rPr>
        <w:t xml:space="preserve">, the Mayor and </w:t>
      </w:r>
      <w:proofErr w:type="spellStart"/>
      <w:r w:rsidRPr="3176DE18">
        <w:rPr>
          <w:rFonts w:ascii="Arial" w:hAnsi="Arial" w:cs="Arial"/>
          <w:sz w:val="24"/>
          <w:szCs w:val="24"/>
          <w:lang w:val="en-US"/>
        </w:rPr>
        <w:t>DevelopmentWA</w:t>
      </w:r>
      <w:proofErr w:type="spellEnd"/>
      <w:r w:rsidRPr="3176DE18">
        <w:rPr>
          <w:rFonts w:ascii="Arial" w:hAnsi="Arial" w:cs="Arial"/>
          <w:sz w:val="24"/>
          <w:szCs w:val="24"/>
          <w:lang w:val="en-US"/>
        </w:rPr>
        <w:t xml:space="preserve"> on 7 November 2019 to facilitate a resolution. </w:t>
      </w:r>
      <w:proofErr w:type="spellStart"/>
      <w:r w:rsidRPr="3176DE18">
        <w:rPr>
          <w:rFonts w:ascii="Arial" w:hAnsi="Arial" w:cs="Arial"/>
          <w:sz w:val="24"/>
          <w:szCs w:val="24"/>
          <w:lang w:val="en-US"/>
        </w:rPr>
        <w:t>DevelopmentWA</w:t>
      </w:r>
      <w:proofErr w:type="spellEnd"/>
      <w:r w:rsidRPr="3176DE18">
        <w:rPr>
          <w:rFonts w:ascii="Arial" w:hAnsi="Arial" w:cs="Arial"/>
          <w:sz w:val="24"/>
          <w:szCs w:val="24"/>
          <w:lang w:val="en-US"/>
        </w:rPr>
        <w:t xml:space="preserve"> is a recent merger of </w:t>
      </w:r>
      <w:proofErr w:type="spellStart"/>
      <w:r w:rsidRPr="3176DE18">
        <w:rPr>
          <w:rFonts w:ascii="Arial" w:hAnsi="Arial" w:cs="Arial"/>
          <w:sz w:val="24"/>
          <w:szCs w:val="24"/>
          <w:lang w:val="en-US"/>
        </w:rPr>
        <w:t>Landcorp</w:t>
      </w:r>
      <w:proofErr w:type="spellEnd"/>
      <w:r w:rsidRPr="3176DE18">
        <w:rPr>
          <w:rFonts w:ascii="Arial" w:hAnsi="Arial" w:cs="Arial"/>
          <w:sz w:val="24"/>
          <w:szCs w:val="24"/>
          <w:lang w:val="en-US"/>
        </w:rPr>
        <w:t xml:space="preserve"> and the Metropolitan Redevelopment Authority. </w:t>
      </w:r>
      <w:proofErr w:type="spellStart"/>
      <w:r w:rsidRPr="3176DE18">
        <w:rPr>
          <w:rFonts w:ascii="Arial" w:hAnsi="Arial" w:cs="Arial"/>
          <w:sz w:val="24"/>
          <w:szCs w:val="24"/>
          <w:lang w:val="en-US"/>
        </w:rPr>
        <w:t>Mr</w:t>
      </w:r>
      <w:proofErr w:type="spellEnd"/>
      <w:r w:rsidRPr="3176DE18">
        <w:rPr>
          <w:rFonts w:ascii="Arial" w:hAnsi="Arial" w:cs="Arial"/>
          <w:sz w:val="24"/>
          <w:szCs w:val="24"/>
          <w:lang w:val="en-US"/>
        </w:rPr>
        <w:t xml:space="preserve"> </w:t>
      </w:r>
      <w:proofErr w:type="spellStart"/>
      <w:r w:rsidRPr="3176DE18">
        <w:rPr>
          <w:rFonts w:ascii="Arial" w:hAnsi="Arial" w:cs="Arial"/>
          <w:sz w:val="24"/>
          <w:szCs w:val="24"/>
          <w:lang w:val="en-US"/>
        </w:rPr>
        <w:t>Ard</w:t>
      </w:r>
      <w:r>
        <w:rPr>
          <w:rFonts w:ascii="Arial" w:hAnsi="Arial" w:cs="Arial"/>
          <w:sz w:val="24"/>
          <w:szCs w:val="24"/>
          <w:lang w:val="en-US"/>
        </w:rPr>
        <w:t>r</w:t>
      </w:r>
      <w:r w:rsidRPr="3176DE18">
        <w:rPr>
          <w:rFonts w:ascii="Arial" w:hAnsi="Arial" w:cs="Arial"/>
          <w:sz w:val="24"/>
          <w:szCs w:val="24"/>
          <w:lang w:val="en-US"/>
        </w:rPr>
        <w:t>on</w:t>
      </w:r>
      <w:proofErr w:type="spellEnd"/>
      <w:r w:rsidRPr="3176DE18">
        <w:rPr>
          <w:rFonts w:ascii="Arial" w:hAnsi="Arial" w:cs="Arial"/>
          <w:sz w:val="24"/>
          <w:szCs w:val="24"/>
          <w:lang w:val="en-US"/>
        </w:rPr>
        <w:t xml:space="preserve"> from </w:t>
      </w:r>
      <w:proofErr w:type="spellStart"/>
      <w:r w:rsidRPr="3176DE18">
        <w:rPr>
          <w:rFonts w:ascii="Arial" w:hAnsi="Arial" w:cs="Arial"/>
          <w:sz w:val="24"/>
          <w:szCs w:val="24"/>
          <w:lang w:val="en-US"/>
        </w:rPr>
        <w:t>DevelopmentWA</w:t>
      </w:r>
      <w:proofErr w:type="spellEnd"/>
      <w:r w:rsidRPr="3176DE18">
        <w:rPr>
          <w:rFonts w:ascii="Arial" w:hAnsi="Arial" w:cs="Arial"/>
          <w:sz w:val="24"/>
          <w:szCs w:val="24"/>
          <w:lang w:val="en-US"/>
        </w:rPr>
        <w:t xml:space="preserve"> advised the residents to prepare details of their claim against </w:t>
      </w:r>
      <w:proofErr w:type="spellStart"/>
      <w:r w:rsidRPr="3176DE18">
        <w:rPr>
          <w:rFonts w:ascii="Arial" w:hAnsi="Arial" w:cs="Arial"/>
          <w:sz w:val="24"/>
          <w:szCs w:val="24"/>
          <w:lang w:val="en-US"/>
        </w:rPr>
        <w:t>DevelopmentWA</w:t>
      </w:r>
      <w:proofErr w:type="spellEnd"/>
      <w:r w:rsidRPr="3176DE18">
        <w:rPr>
          <w:rFonts w:ascii="Arial" w:hAnsi="Arial" w:cs="Arial"/>
          <w:sz w:val="24"/>
          <w:szCs w:val="24"/>
          <w:lang w:val="en-US"/>
        </w:rPr>
        <w:t xml:space="preserve"> for the cost of the works. The insurance claim could be made either individually or as a group. </w:t>
      </w:r>
      <w:proofErr w:type="spellStart"/>
      <w:r w:rsidRPr="3176DE18">
        <w:rPr>
          <w:rFonts w:ascii="Arial" w:hAnsi="Arial" w:cs="Arial"/>
          <w:sz w:val="24"/>
          <w:szCs w:val="24"/>
          <w:lang w:val="en-US"/>
        </w:rPr>
        <w:t>Mr</w:t>
      </w:r>
      <w:proofErr w:type="spellEnd"/>
      <w:r w:rsidRPr="3176DE18">
        <w:rPr>
          <w:rFonts w:ascii="Arial" w:hAnsi="Arial" w:cs="Arial"/>
          <w:sz w:val="24"/>
          <w:szCs w:val="24"/>
          <w:lang w:val="en-US"/>
        </w:rPr>
        <w:t xml:space="preserve"> </w:t>
      </w:r>
      <w:proofErr w:type="spellStart"/>
      <w:r w:rsidRPr="3176DE18">
        <w:rPr>
          <w:rFonts w:ascii="Arial" w:hAnsi="Arial" w:cs="Arial"/>
          <w:sz w:val="24"/>
          <w:szCs w:val="24"/>
          <w:lang w:val="en-US"/>
        </w:rPr>
        <w:t>Ard</w:t>
      </w:r>
      <w:r>
        <w:rPr>
          <w:rFonts w:ascii="Arial" w:hAnsi="Arial" w:cs="Arial"/>
          <w:sz w:val="24"/>
          <w:szCs w:val="24"/>
          <w:lang w:val="en-US"/>
        </w:rPr>
        <w:t>r</w:t>
      </w:r>
      <w:r w:rsidRPr="3176DE18">
        <w:rPr>
          <w:rFonts w:ascii="Arial" w:hAnsi="Arial" w:cs="Arial"/>
          <w:sz w:val="24"/>
          <w:szCs w:val="24"/>
          <w:lang w:val="en-US"/>
        </w:rPr>
        <w:t>on</w:t>
      </w:r>
      <w:proofErr w:type="spellEnd"/>
      <w:r w:rsidRPr="3176DE18">
        <w:rPr>
          <w:rFonts w:ascii="Arial" w:hAnsi="Arial" w:cs="Arial"/>
          <w:sz w:val="24"/>
          <w:szCs w:val="24"/>
          <w:lang w:val="en-US"/>
        </w:rPr>
        <w:t xml:space="preserve"> also advised that upon receiving the claim</w:t>
      </w:r>
      <w:r>
        <w:rPr>
          <w:rFonts w:ascii="Arial" w:hAnsi="Arial" w:cs="Arial"/>
          <w:sz w:val="24"/>
          <w:szCs w:val="24"/>
          <w:lang w:val="en-US"/>
        </w:rPr>
        <w:t xml:space="preserve">, </w:t>
      </w:r>
      <w:proofErr w:type="spellStart"/>
      <w:r w:rsidRPr="3176DE18">
        <w:rPr>
          <w:rFonts w:ascii="Arial" w:hAnsi="Arial" w:cs="Arial"/>
          <w:sz w:val="24"/>
          <w:szCs w:val="24"/>
          <w:lang w:val="en-US"/>
        </w:rPr>
        <w:t>DevelopmentWA</w:t>
      </w:r>
      <w:proofErr w:type="spellEnd"/>
      <w:r w:rsidRPr="3176DE18">
        <w:rPr>
          <w:rFonts w:ascii="Arial" w:hAnsi="Arial" w:cs="Arial"/>
          <w:sz w:val="24"/>
          <w:szCs w:val="24"/>
          <w:lang w:val="en-US"/>
        </w:rPr>
        <w:t xml:space="preserve"> will expedite the insurance claim process but did not provide any guarantee that the claim will be accepted.</w:t>
      </w:r>
    </w:p>
    <w:p w14:paraId="5040D549" w14:textId="77777777" w:rsidR="00366C45" w:rsidRDefault="00366C45" w:rsidP="00366C45">
      <w:pPr>
        <w:spacing w:after="0" w:line="240" w:lineRule="auto"/>
        <w:jc w:val="both"/>
        <w:rPr>
          <w:rFonts w:ascii="Arial" w:hAnsi="Arial" w:cs="Arial"/>
          <w:sz w:val="24"/>
          <w:szCs w:val="32"/>
          <w:lang w:val="en-US"/>
        </w:rPr>
      </w:pPr>
    </w:p>
    <w:p w14:paraId="624338EB" w14:textId="77777777" w:rsidR="00366C45" w:rsidRDefault="00366C45" w:rsidP="00366C45">
      <w:pPr>
        <w:spacing w:after="0" w:line="240" w:lineRule="auto"/>
        <w:jc w:val="both"/>
        <w:rPr>
          <w:rFonts w:ascii="Arial" w:hAnsi="Arial" w:cs="Arial"/>
          <w:sz w:val="24"/>
          <w:szCs w:val="24"/>
          <w:lang w:val="en-US"/>
        </w:rPr>
      </w:pPr>
      <w:r w:rsidRPr="3176DE18">
        <w:rPr>
          <w:rFonts w:ascii="Arial" w:hAnsi="Arial" w:cs="Arial"/>
          <w:sz w:val="24"/>
          <w:szCs w:val="24"/>
          <w:lang w:val="en-US"/>
        </w:rPr>
        <w:t>During the meeting several residents questioned the City’s involvement in approving the subdivision plans and responsibility for repairing the wall. The residents were advised that as walls are contained within the lot and retain their land</w:t>
      </w:r>
      <w:r>
        <w:rPr>
          <w:rFonts w:ascii="Arial" w:hAnsi="Arial" w:cs="Arial"/>
          <w:sz w:val="24"/>
          <w:szCs w:val="24"/>
          <w:lang w:val="en-US"/>
        </w:rPr>
        <w:t>,</w:t>
      </w:r>
      <w:r w:rsidRPr="3176DE18">
        <w:rPr>
          <w:rFonts w:ascii="Arial" w:hAnsi="Arial" w:cs="Arial"/>
          <w:sz w:val="24"/>
          <w:szCs w:val="24"/>
          <w:lang w:val="en-US"/>
        </w:rPr>
        <w:t xml:space="preserve"> </w:t>
      </w:r>
      <w:r>
        <w:rPr>
          <w:rFonts w:ascii="Arial" w:hAnsi="Arial" w:cs="Arial"/>
          <w:sz w:val="24"/>
          <w:szCs w:val="24"/>
          <w:lang w:val="en-US"/>
        </w:rPr>
        <w:t>i</w:t>
      </w:r>
      <w:r w:rsidRPr="3176DE18">
        <w:rPr>
          <w:rFonts w:ascii="Arial" w:hAnsi="Arial" w:cs="Arial"/>
          <w:sz w:val="24"/>
          <w:szCs w:val="24"/>
          <w:lang w:val="en-US"/>
        </w:rPr>
        <w:t>t is the landowner’s responsibility to make good any repairs</w:t>
      </w:r>
      <w:r>
        <w:rPr>
          <w:rFonts w:ascii="Arial" w:hAnsi="Arial" w:cs="Arial"/>
          <w:sz w:val="24"/>
          <w:szCs w:val="24"/>
          <w:lang w:val="en-US"/>
        </w:rPr>
        <w:t xml:space="preserve">, </w:t>
      </w:r>
      <w:r w:rsidRPr="00DB124B">
        <w:rPr>
          <w:rFonts w:ascii="Arial" w:hAnsi="Arial" w:cs="Arial"/>
          <w:sz w:val="24"/>
          <w:szCs w:val="24"/>
          <w:lang w:val="en-US"/>
        </w:rPr>
        <w:t>and that they might</w:t>
      </w:r>
      <w:r w:rsidRPr="3176DE18">
        <w:rPr>
          <w:rFonts w:ascii="Arial" w:hAnsi="Arial" w:cs="Arial"/>
          <w:sz w:val="24"/>
          <w:szCs w:val="24"/>
          <w:lang w:val="en-US"/>
        </w:rPr>
        <w:t xml:space="preserve"> provide the necessary evidence to support a successful claim against </w:t>
      </w:r>
      <w:proofErr w:type="spellStart"/>
      <w:r w:rsidRPr="3176DE18">
        <w:rPr>
          <w:rFonts w:ascii="Arial" w:hAnsi="Arial" w:cs="Arial"/>
          <w:sz w:val="24"/>
          <w:szCs w:val="24"/>
          <w:lang w:val="en-US"/>
        </w:rPr>
        <w:t>Landcorp</w:t>
      </w:r>
      <w:proofErr w:type="spellEnd"/>
      <w:r w:rsidRPr="3176DE18">
        <w:rPr>
          <w:rFonts w:ascii="Arial" w:hAnsi="Arial" w:cs="Arial"/>
          <w:sz w:val="24"/>
          <w:szCs w:val="24"/>
          <w:lang w:val="en-US"/>
        </w:rPr>
        <w:t>/</w:t>
      </w:r>
      <w:proofErr w:type="spellStart"/>
      <w:r w:rsidRPr="3176DE18">
        <w:rPr>
          <w:rFonts w:ascii="Arial" w:hAnsi="Arial" w:cs="Arial"/>
          <w:sz w:val="24"/>
          <w:szCs w:val="24"/>
          <w:lang w:val="en-US"/>
        </w:rPr>
        <w:t>DevelopmentWA</w:t>
      </w:r>
      <w:proofErr w:type="spellEnd"/>
      <w:r w:rsidRPr="3176DE18">
        <w:rPr>
          <w:rFonts w:ascii="Arial" w:hAnsi="Arial" w:cs="Arial"/>
          <w:sz w:val="24"/>
          <w:szCs w:val="24"/>
          <w:lang w:val="en-US"/>
        </w:rPr>
        <w:t>.</w:t>
      </w:r>
    </w:p>
    <w:p w14:paraId="47EB82B0" w14:textId="77777777" w:rsidR="00366C45" w:rsidRDefault="00366C45" w:rsidP="00366C45">
      <w:pPr>
        <w:spacing w:after="0" w:line="240" w:lineRule="auto"/>
        <w:jc w:val="both"/>
        <w:rPr>
          <w:rFonts w:ascii="Arial" w:hAnsi="Arial" w:cs="Arial"/>
          <w:sz w:val="24"/>
          <w:szCs w:val="32"/>
          <w:lang w:val="en-US"/>
        </w:rPr>
      </w:pPr>
    </w:p>
    <w:p w14:paraId="31016252" w14:textId="77777777" w:rsidR="00366C45" w:rsidRPr="00567522" w:rsidRDefault="00366C45" w:rsidP="00366C45">
      <w:pPr>
        <w:spacing w:after="0" w:line="240" w:lineRule="auto"/>
        <w:jc w:val="both"/>
        <w:rPr>
          <w:rFonts w:ascii="Arial" w:hAnsi="Arial" w:cs="Arial"/>
          <w:b/>
          <w:bCs/>
          <w:sz w:val="24"/>
          <w:szCs w:val="32"/>
          <w:lang w:val="en-US"/>
        </w:rPr>
      </w:pPr>
      <w:r w:rsidRPr="00567522">
        <w:rPr>
          <w:rFonts w:ascii="Arial" w:hAnsi="Arial" w:cs="Arial"/>
          <w:b/>
          <w:bCs/>
          <w:sz w:val="24"/>
          <w:szCs w:val="32"/>
          <w:lang w:val="en-US"/>
        </w:rPr>
        <w:t>Legal Advice</w:t>
      </w:r>
    </w:p>
    <w:p w14:paraId="1D25A91A" w14:textId="77777777" w:rsidR="00366C45" w:rsidRDefault="00366C45" w:rsidP="00366C45">
      <w:pPr>
        <w:spacing w:after="0" w:line="240" w:lineRule="auto"/>
        <w:jc w:val="both"/>
        <w:rPr>
          <w:rFonts w:ascii="Arial" w:hAnsi="Arial" w:cs="Arial"/>
          <w:sz w:val="24"/>
          <w:szCs w:val="32"/>
          <w:lang w:val="en-US"/>
        </w:rPr>
      </w:pPr>
    </w:p>
    <w:p w14:paraId="48D4FE98"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 xml:space="preserve">The City sought legal advice (refer to Confidential Attachment 1 under separate cover) on the process followed to date and it was recommended that Administration should issue residents with a second notice requiring the works to be carried out within 28 days. However, given the potential demolition and construction timeframes particularly during the Christmas period, this was considered impractical and unreasonable to residents. Therefore, Administration will issue a second notice </w:t>
      </w:r>
      <w:r w:rsidRPr="00F41157">
        <w:rPr>
          <w:rFonts w:ascii="Arial" w:hAnsi="Arial" w:cs="Arial"/>
          <w:bCs/>
          <w:sz w:val="24"/>
          <w:szCs w:val="24"/>
        </w:rPr>
        <w:t xml:space="preserve">under Section 3.25 of the Local Government Act, </w:t>
      </w:r>
      <w:r w:rsidRPr="00F41157">
        <w:rPr>
          <w:rFonts w:ascii="Arial" w:hAnsi="Arial" w:cs="Arial"/>
          <w:bCs/>
          <w:sz w:val="24"/>
          <w:szCs w:val="24"/>
          <w:lang w:val="en-US"/>
        </w:rPr>
        <w:t>for reconstruction of the boundary wall</w:t>
      </w:r>
      <w:r w:rsidRPr="00F41157">
        <w:rPr>
          <w:rFonts w:ascii="Arial" w:hAnsi="Arial" w:cs="Arial"/>
          <w:sz w:val="24"/>
          <w:szCs w:val="32"/>
          <w:lang w:val="en-US"/>
        </w:rPr>
        <w:t xml:space="preserve"> with a </w:t>
      </w:r>
      <w:r w:rsidRPr="00F41157">
        <w:rPr>
          <w:rFonts w:ascii="Arial" w:hAnsi="Arial" w:cs="Arial"/>
          <w:bCs/>
          <w:sz w:val="24"/>
          <w:szCs w:val="24"/>
          <w:lang w:val="en-US"/>
        </w:rPr>
        <w:t>practical</w:t>
      </w:r>
      <w:r w:rsidRPr="00F41157">
        <w:rPr>
          <w:rFonts w:ascii="Arial" w:hAnsi="Arial" w:cs="Arial"/>
          <w:sz w:val="24"/>
          <w:szCs w:val="32"/>
          <w:lang w:val="en-US"/>
        </w:rPr>
        <w:t xml:space="preserve"> completion date </w:t>
      </w:r>
      <w:r w:rsidRPr="00F41157">
        <w:rPr>
          <w:rFonts w:ascii="Arial" w:hAnsi="Arial" w:cs="Arial"/>
          <w:bCs/>
          <w:sz w:val="24"/>
          <w:szCs w:val="24"/>
        </w:rPr>
        <w:t>on or before 30 April 2020.</w:t>
      </w:r>
      <w:r>
        <w:rPr>
          <w:rFonts w:ascii="Arial" w:hAnsi="Arial" w:cs="Arial"/>
          <w:b/>
          <w:sz w:val="24"/>
          <w:szCs w:val="24"/>
        </w:rPr>
        <w:t xml:space="preserve"> </w:t>
      </w:r>
      <w:r>
        <w:rPr>
          <w:rFonts w:ascii="Arial" w:hAnsi="Arial" w:cs="Arial"/>
          <w:sz w:val="24"/>
          <w:szCs w:val="32"/>
          <w:lang w:val="en-US"/>
        </w:rPr>
        <w:t xml:space="preserve">This will allow sufficient time for any claims to be assessed and subsequent works to be arranged. </w:t>
      </w:r>
    </w:p>
    <w:p w14:paraId="2E37F73E"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 xml:space="preserve"> </w:t>
      </w:r>
    </w:p>
    <w:p w14:paraId="3414E030" w14:textId="77777777" w:rsidR="00366C45" w:rsidRDefault="00366C45" w:rsidP="00366C45">
      <w:pPr>
        <w:spacing w:after="0" w:line="240" w:lineRule="auto"/>
        <w:jc w:val="both"/>
        <w:rPr>
          <w:rFonts w:ascii="Arial" w:hAnsi="Arial" w:cs="Arial"/>
          <w:b/>
          <w:bCs/>
          <w:sz w:val="24"/>
          <w:szCs w:val="32"/>
          <w:lang w:val="en-US"/>
        </w:rPr>
      </w:pPr>
      <w:r w:rsidRPr="008B756A">
        <w:rPr>
          <w:rFonts w:ascii="Arial" w:hAnsi="Arial" w:cs="Arial"/>
          <w:b/>
          <w:bCs/>
          <w:sz w:val="24"/>
          <w:szCs w:val="32"/>
          <w:lang w:val="en-US"/>
        </w:rPr>
        <w:t>Temporary Footpat</w:t>
      </w:r>
      <w:r>
        <w:rPr>
          <w:rFonts w:ascii="Arial" w:hAnsi="Arial" w:cs="Arial"/>
          <w:b/>
          <w:bCs/>
          <w:sz w:val="24"/>
          <w:szCs w:val="32"/>
          <w:lang w:val="en-US"/>
        </w:rPr>
        <w:t>h</w:t>
      </w:r>
    </w:p>
    <w:p w14:paraId="1FE96309" w14:textId="77777777" w:rsidR="00366C45" w:rsidRDefault="00366C45" w:rsidP="00366C45">
      <w:pPr>
        <w:spacing w:after="0" w:line="240" w:lineRule="auto"/>
        <w:jc w:val="both"/>
        <w:rPr>
          <w:rFonts w:ascii="Arial" w:hAnsi="Arial" w:cs="Arial"/>
          <w:b/>
          <w:bCs/>
          <w:sz w:val="24"/>
          <w:szCs w:val="32"/>
          <w:lang w:val="en-US"/>
        </w:rPr>
      </w:pPr>
    </w:p>
    <w:p w14:paraId="578922B1"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 xml:space="preserve">The City has received several complaints from residents regarding the length of time the footpath has been closed and the risk to pedestrians and primary school children riding their bikes on the road pavement of Montgomery Avenue. The complaint was also received from one of the residents at the 7 November 2019 meeting. </w:t>
      </w:r>
    </w:p>
    <w:p w14:paraId="4304B2A6" w14:textId="77777777" w:rsidR="00366C45" w:rsidRDefault="00366C45" w:rsidP="00366C45">
      <w:pPr>
        <w:spacing w:after="0" w:line="240" w:lineRule="auto"/>
        <w:jc w:val="both"/>
        <w:rPr>
          <w:rFonts w:ascii="Arial" w:hAnsi="Arial" w:cs="Arial"/>
          <w:sz w:val="24"/>
          <w:szCs w:val="32"/>
          <w:lang w:val="en-US"/>
        </w:rPr>
      </w:pPr>
    </w:p>
    <w:p w14:paraId="264655AF"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lastRenderedPageBreak/>
        <w:t xml:space="preserve">In anticipation that reconstruction of the wall and/or insurance claims will take some time to resolve, a temporary footpath should be constructed on the west side of Montgomery Avenue to replace the closed section of footpath. The temporary footpath alignment is shown in Attachment 2. </w:t>
      </w:r>
    </w:p>
    <w:p w14:paraId="7351EA12" w14:textId="77777777" w:rsidR="00366C45" w:rsidRDefault="00366C45" w:rsidP="00366C45">
      <w:pPr>
        <w:spacing w:after="0" w:line="240" w:lineRule="auto"/>
        <w:jc w:val="both"/>
        <w:rPr>
          <w:rFonts w:ascii="Arial" w:hAnsi="Arial" w:cs="Arial"/>
          <w:sz w:val="24"/>
          <w:szCs w:val="32"/>
          <w:lang w:val="en-US"/>
        </w:rPr>
      </w:pPr>
    </w:p>
    <w:p w14:paraId="288DAA07"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 xml:space="preserve">Construction of the temporary path would comprise of levelling and compaction of the existing turf/sand base over a width of 1.0m to create a smooth level surface suitable for children’s bicycles and pedestrians. A 1.0m length of barrier </w:t>
      </w:r>
      <w:proofErr w:type="spellStart"/>
      <w:r>
        <w:rPr>
          <w:rFonts w:ascii="Arial" w:hAnsi="Arial" w:cs="Arial"/>
          <w:sz w:val="24"/>
          <w:szCs w:val="32"/>
          <w:lang w:val="en-US"/>
        </w:rPr>
        <w:t>kerb</w:t>
      </w:r>
      <w:proofErr w:type="spellEnd"/>
      <w:r>
        <w:rPr>
          <w:rFonts w:ascii="Arial" w:hAnsi="Arial" w:cs="Arial"/>
          <w:sz w:val="24"/>
          <w:szCs w:val="32"/>
          <w:lang w:val="en-US"/>
        </w:rPr>
        <w:t xml:space="preserve"> will be replaced with mountable </w:t>
      </w:r>
      <w:proofErr w:type="spellStart"/>
      <w:r>
        <w:rPr>
          <w:rFonts w:ascii="Arial" w:hAnsi="Arial" w:cs="Arial"/>
          <w:sz w:val="24"/>
          <w:szCs w:val="32"/>
          <w:lang w:val="en-US"/>
        </w:rPr>
        <w:t>kerb</w:t>
      </w:r>
      <w:proofErr w:type="spellEnd"/>
      <w:r>
        <w:rPr>
          <w:rFonts w:ascii="Arial" w:hAnsi="Arial" w:cs="Arial"/>
          <w:sz w:val="24"/>
          <w:szCs w:val="32"/>
          <w:lang w:val="en-US"/>
        </w:rPr>
        <w:t xml:space="preserve"> at the Regents Boulevard end.  Suitable signage and/or bunting will be installed to make the temporary path alignment clear to the public. </w:t>
      </w:r>
    </w:p>
    <w:p w14:paraId="5DC0A130" w14:textId="77777777" w:rsidR="00366C45" w:rsidRDefault="00366C45" w:rsidP="00366C45">
      <w:pPr>
        <w:spacing w:after="0" w:line="240" w:lineRule="auto"/>
        <w:jc w:val="both"/>
        <w:rPr>
          <w:rFonts w:ascii="Arial" w:hAnsi="Arial" w:cs="Arial"/>
          <w:sz w:val="24"/>
          <w:szCs w:val="32"/>
          <w:lang w:val="en-US"/>
        </w:rPr>
      </w:pPr>
    </w:p>
    <w:p w14:paraId="41F495B0"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 xml:space="preserve">The cost estimate to provide the temporary footpath is $10,000 </w:t>
      </w:r>
      <w:r w:rsidRPr="00F41157">
        <w:rPr>
          <w:rFonts w:ascii="Arial" w:hAnsi="Arial" w:cs="Arial"/>
          <w:bCs/>
          <w:sz w:val="24"/>
          <w:szCs w:val="24"/>
        </w:rPr>
        <w:t>which includes removal of the temporary path upon completion of the boundary wall construction</w:t>
      </w:r>
      <w:r>
        <w:rPr>
          <w:rFonts w:ascii="Arial" w:hAnsi="Arial" w:cs="Arial"/>
          <w:sz w:val="24"/>
          <w:szCs w:val="32"/>
          <w:lang w:val="en-US"/>
        </w:rPr>
        <w:t>. The bunting and signage closing the existing permanent footpath will need to be maintained until the boundary wall has been reconstructed.</w:t>
      </w:r>
    </w:p>
    <w:p w14:paraId="5F1F6650" w14:textId="77777777" w:rsidR="00366C45" w:rsidRDefault="00366C45" w:rsidP="00366C45">
      <w:pPr>
        <w:spacing w:after="0" w:line="240" w:lineRule="auto"/>
        <w:jc w:val="both"/>
        <w:rPr>
          <w:rFonts w:ascii="Arial" w:hAnsi="Arial" w:cs="Arial"/>
          <w:sz w:val="24"/>
          <w:szCs w:val="32"/>
          <w:lang w:val="en-US"/>
        </w:rPr>
      </w:pPr>
    </w:p>
    <w:p w14:paraId="52A5020C" w14:textId="77777777" w:rsidR="00366C45"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 xml:space="preserve">These costs are recoverable under the Local Government Act 1995 Section 3.26 where appropriate notice has been provided by the City to make safe the wall. </w:t>
      </w:r>
    </w:p>
    <w:p w14:paraId="1F4C7149" w14:textId="77777777" w:rsidR="00366C45" w:rsidRDefault="00366C45" w:rsidP="00366C45">
      <w:pPr>
        <w:spacing w:after="0" w:line="240" w:lineRule="auto"/>
        <w:jc w:val="both"/>
        <w:rPr>
          <w:rFonts w:ascii="Arial" w:hAnsi="Arial" w:cs="Arial"/>
          <w:b/>
          <w:sz w:val="24"/>
          <w:szCs w:val="32"/>
          <w:lang w:val="en-US"/>
        </w:rPr>
      </w:pPr>
    </w:p>
    <w:p w14:paraId="52A2B8B6" w14:textId="77777777" w:rsidR="00366C45" w:rsidRPr="00AD73CC" w:rsidRDefault="00366C45" w:rsidP="00366C45">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47950AFD" w14:textId="77777777" w:rsidR="00366C45" w:rsidRPr="00AD73CC" w:rsidRDefault="00366C45" w:rsidP="00366C45">
      <w:pPr>
        <w:spacing w:after="0" w:line="240" w:lineRule="auto"/>
        <w:jc w:val="both"/>
        <w:rPr>
          <w:rFonts w:ascii="Arial" w:hAnsi="Arial" w:cs="Arial"/>
          <w:sz w:val="24"/>
          <w:szCs w:val="32"/>
          <w:lang w:val="en-US"/>
        </w:rPr>
      </w:pPr>
    </w:p>
    <w:p w14:paraId="3BD362D4" w14:textId="77777777" w:rsidR="00366C45" w:rsidRPr="00AD73CC" w:rsidRDefault="00366C45" w:rsidP="00366C45">
      <w:pPr>
        <w:spacing w:after="0" w:line="240" w:lineRule="auto"/>
        <w:jc w:val="both"/>
        <w:rPr>
          <w:rFonts w:ascii="Arial" w:hAnsi="Arial" w:cs="Arial"/>
          <w:sz w:val="24"/>
          <w:szCs w:val="32"/>
          <w:lang w:val="en-US"/>
        </w:rPr>
      </w:pPr>
      <w:r>
        <w:rPr>
          <w:rFonts w:ascii="Arial" w:hAnsi="Arial" w:cs="Arial"/>
          <w:sz w:val="24"/>
          <w:szCs w:val="32"/>
          <w:lang w:val="en-US"/>
        </w:rPr>
        <w:t>Nil</w:t>
      </w:r>
    </w:p>
    <w:p w14:paraId="37832D77" w14:textId="77777777" w:rsidR="00366C45" w:rsidRPr="00AD73CC" w:rsidRDefault="00366C45" w:rsidP="00366C45">
      <w:pPr>
        <w:spacing w:after="0" w:line="240" w:lineRule="auto"/>
        <w:jc w:val="both"/>
        <w:rPr>
          <w:rFonts w:ascii="Arial" w:hAnsi="Arial" w:cs="Arial"/>
          <w:sz w:val="24"/>
          <w:szCs w:val="32"/>
          <w:lang w:val="en-US"/>
        </w:rPr>
      </w:pPr>
    </w:p>
    <w:p w14:paraId="3E740EE3" w14:textId="77777777" w:rsidR="00366C45" w:rsidRPr="00AD73CC" w:rsidRDefault="00366C45" w:rsidP="00366C45">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056C0072" w14:textId="77777777" w:rsidR="00366C45" w:rsidRPr="00AD73CC" w:rsidRDefault="00366C45" w:rsidP="00366C45">
      <w:pPr>
        <w:spacing w:after="0" w:line="240" w:lineRule="auto"/>
        <w:jc w:val="both"/>
        <w:rPr>
          <w:rFonts w:ascii="Arial" w:hAnsi="Arial" w:cs="Arial"/>
          <w:b/>
          <w:sz w:val="24"/>
          <w:szCs w:val="32"/>
          <w:lang w:val="en-US"/>
        </w:rPr>
      </w:pPr>
    </w:p>
    <w:p w14:paraId="1B59D10F" w14:textId="77777777" w:rsidR="00366C45" w:rsidRPr="00AD73CC" w:rsidRDefault="00366C45" w:rsidP="00366C45">
      <w:pPr>
        <w:spacing w:after="0" w:line="240" w:lineRule="auto"/>
        <w:jc w:val="both"/>
        <w:rPr>
          <w:rFonts w:ascii="Arial" w:hAnsi="Arial" w:cs="Arial"/>
          <w:b/>
          <w:sz w:val="24"/>
          <w:szCs w:val="32"/>
          <w:lang w:val="en-US"/>
        </w:rPr>
      </w:pPr>
      <w:r w:rsidRPr="00310B02">
        <w:rPr>
          <w:rFonts w:ascii="Arial" w:hAnsi="Arial" w:cs="Arial"/>
          <w:sz w:val="24"/>
          <w:szCs w:val="32"/>
          <w:lang w:val="en-US"/>
        </w:rPr>
        <w:t xml:space="preserve">The $10,000 cost associated with Item 3 to construct a temporary path is unbudgeted and will be funded from </w:t>
      </w:r>
      <w:r>
        <w:rPr>
          <w:rFonts w:ascii="Arial" w:hAnsi="Arial" w:cs="Arial"/>
          <w:sz w:val="24"/>
          <w:szCs w:val="32"/>
          <w:lang w:val="en-US"/>
        </w:rPr>
        <w:t>the technical services operational budget.</w:t>
      </w:r>
    </w:p>
    <w:p w14:paraId="5FB5F667" w14:textId="77777777" w:rsidR="00366C45" w:rsidRDefault="00366C45" w:rsidP="00366C45">
      <w:pPr>
        <w:spacing w:after="0" w:line="240" w:lineRule="auto"/>
        <w:jc w:val="both"/>
        <w:rPr>
          <w:rFonts w:ascii="Arial" w:hAnsi="Arial" w:cs="Arial"/>
          <w:sz w:val="24"/>
          <w:szCs w:val="24"/>
          <w:lang w:val="en-AU"/>
        </w:rPr>
      </w:pPr>
    </w:p>
    <w:p w14:paraId="0B6D2C20" w14:textId="0D4EAE39" w:rsidR="006B3B08" w:rsidRDefault="006B3B08">
      <w:pPr>
        <w:spacing w:after="160" w:line="259" w:lineRule="auto"/>
      </w:pPr>
    </w:p>
    <w:sectPr w:rsidR="006B3B08" w:rsidSect="00B36CCB">
      <w:headerReference w:type="default" r:id="rId13"/>
      <w:pgSz w:w="11906" w:h="16838" w:code="9"/>
      <w:pgMar w:top="1418" w:right="1559" w:bottom="1225" w:left="1077" w:header="709" w:footer="709"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D9173" w14:textId="77777777" w:rsidR="00C900F4" w:rsidRDefault="00C900F4" w:rsidP="00C900F4">
      <w:pPr>
        <w:spacing w:after="0" w:line="240" w:lineRule="auto"/>
      </w:pPr>
      <w:r>
        <w:separator/>
      </w:r>
    </w:p>
  </w:endnote>
  <w:endnote w:type="continuationSeparator" w:id="0">
    <w:p w14:paraId="26900D2F" w14:textId="77777777" w:rsidR="00C900F4" w:rsidRDefault="00C900F4" w:rsidP="00C9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B8E59" w14:textId="77777777" w:rsidR="00C900F4" w:rsidRDefault="00C900F4" w:rsidP="00C900F4">
      <w:pPr>
        <w:spacing w:after="0" w:line="240" w:lineRule="auto"/>
      </w:pPr>
      <w:r>
        <w:separator/>
      </w:r>
    </w:p>
  </w:footnote>
  <w:footnote w:type="continuationSeparator" w:id="0">
    <w:p w14:paraId="54AF7325" w14:textId="77777777" w:rsidR="00C900F4" w:rsidRDefault="00C900F4" w:rsidP="00C9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E94E" w14:textId="1C18770C" w:rsidR="00E9011C" w:rsidRPr="00F14AAC" w:rsidRDefault="00C900F4" w:rsidP="00F14AAC">
    <w:pPr>
      <w:pStyle w:val="Header"/>
      <w:jc w:val="right"/>
      <w:rPr>
        <w:rFonts w:ascii="Arial" w:hAnsi="Arial" w:cs="Arial"/>
      </w:rPr>
    </w:pPr>
    <w:r w:rsidRPr="00C900F4">
      <w:rPr>
        <w:rFonts w:ascii="Arial" w:hAnsi="Arial" w:cs="Arial"/>
      </w:rPr>
      <w:t>201</w:t>
    </w:r>
    <w:r w:rsidR="00C240FA">
      <w:rPr>
        <w:rFonts w:ascii="Arial" w:hAnsi="Arial" w:cs="Arial"/>
      </w:rPr>
      <w:t>9</w:t>
    </w:r>
    <w:r w:rsidRPr="00C900F4">
      <w:rPr>
        <w:rFonts w:ascii="Arial" w:hAnsi="Arial" w:cs="Arial"/>
      </w:rPr>
      <w:t xml:space="preserve"> TS Report – TS</w:t>
    </w:r>
    <w:r w:rsidR="00F14AAC">
      <w:rPr>
        <w:rFonts w:ascii="Arial" w:hAnsi="Arial" w:cs="Arial"/>
      </w:rPr>
      <w:t>2</w:t>
    </w:r>
    <w:r w:rsidR="006B3B08">
      <w:rPr>
        <w:rFonts w:ascii="Arial" w:hAnsi="Arial" w:cs="Arial"/>
      </w:rPr>
      <w:t>4</w:t>
    </w:r>
    <w:r w:rsidR="00C240FA">
      <w:rPr>
        <w:rFonts w:ascii="Arial" w:hAnsi="Arial" w:cs="Arial"/>
      </w:rPr>
      <w:t>.19</w:t>
    </w:r>
    <w:r w:rsidR="006B3B08">
      <w:rPr>
        <w:rFonts w:ascii="Arial" w:hAnsi="Arial" w:cs="Arial"/>
      </w:rPr>
      <w:t xml:space="preserve"> </w:t>
    </w:r>
    <w:r w:rsidR="00F14AAC">
      <w:rPr>
        <w:rFonts w:ascii="Arial" w:hAnsi="Arial" w:cs="Arial"/>
      </w:rPr>
      <w:t xml:space="preserve">– </w:t>
    </w:r>
    <w:r w:rsidR="006B3B08">
      <w:rPr>
        <w:rFonts w:ascii="Arial" w:hAnsi="Arial" w:cs="Arial"/>
      </w:rPr>
      <w:t>17 December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0AD"/>
    <w:multiLevelType w:val="hybridMultilevel"/>
    <w:tmpl w:val="4186047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6521FAC"/>
    <w:multiLevelType w:val="hybridMultilevel"/>
    <w:tmpl w:val="03D2E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7F28F1"/>
    <w:multiLevelType w:val="hybridMultilevel"/>
    <w:tmpl w:val="DEE0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342E7"/>
    <w:multiLevelType w:val="hybridMultilevel"/>
    <w:tmpl w:val="B27E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35BF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B5509"/>
    <w:multiLevelType w:val="hybridMultilevel"/>
    <w:tmpl w:val="0140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12E64"/>
    <w:multiLevelType w:val="hybridMultilevel"/>
    <w:tmpl w:val="DCCC24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5B6204A"/>
    <w:multiLevelType w:val="hybridMultilevel"/>
    <w:tmpl w:val="CBCCC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75026"/>
    <w:multiLevelType w:val="hybridMultilevel"/>
    <w:tmpl w:val="0978A186"/>
    <w:lvl w:ilvl="0" w:tplc="525858A6">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AF5B54"/>
    <w:multiLevelType w:val="hybridMultilevel"/>
    <w:tmpl w:val="BC9EA3AE"/>
    <w:lvl w:ilvl="0" w:tplc="8EFCFC0A">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1D9A48B2"/>
    <w:multiLevelType w:val="hybridMultilevel"/>
    <w:tmpl w:val="369C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E248F"/>
    <w:multiLevelType w:val="hybridMultilevel"/>
    <w:tmpl w:val="538E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86EA9"/>
    <w:multiLevelType w:val="hybridMultilevel"/>
    <w:tmpl w:val="4E36E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0B711F"/>
    <w:multiLevelType w:val="hybridMultilevel"/>
    <w:tmpl w:val="0D1C2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560E9"/>
    <w:multiLevelType w:val="hybridMultilevel"/>
    <w:tmpl w:val="4642B7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C21CF3"/>
    <w:multiLevelType w:val="hybridMultilevel"/>
    <w:tmpl w:val="58FC1EEA"/>
    <w:lvl w:ilvl="0" w:tplc="8EEEE28A">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540A7A"/>
    <w:multiLevelType w:val="hybridMultilevel"/>
    <w:tmpl w:val="27764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415EA6"/>
    <w:multiLevelType w:val="hybridMultilevel"/>
    <w:tmpl w:val="B63472D6"/>
    <w:lvl w:ilvl="0" w:tplc="5F0CAD6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97093C"/>
    <w:multiLevelType w:val="hybridMultilevel"/>
    <w:tmpl w:val="CA4AF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900B86"/>
    <w:multiLevelType w:val="hybridMultilevel"/>
    <w:tmpl w:val="AEE4FC6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0" w15:restartNumberingAfterBreak="0">
    <w:nsid w:val="459B1233"/>
    <w:multiLevelType w:val="hybridMultilevel"/>
    <w:tmpl w:val="4DB6B9EE"/>
    <w:lvl w:ilvl="0" w:tplc="99B084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6135801"/>
    <w:multiLevelType w:val="hybridMultilevel"/>
    <w:tmpl w:val="40CE9220"/>
    <w:lvl w:ilvl="0" w:tplc="525858A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DA09E2"/>
    <w:multiLevelType w:val="hybridMultilevel"/>
    <w:tmpl w:val="48323DA0"/>
    <w:lvl w:ilvl="0" w:tplc="A2A29F18">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DC16F91A" w:tentative="1">
      <w:start w:val="1"/>
      <w:numFmt w:val="decimal"/>
      <w:lvlText w:val="%3."/>
      <w:lvlJc w:val="left"/>
      <w:pPr>
        <w:tabs>
          <w:tab w:val="num" w:pos="2160"/>
        </w:tabs>
        <w:ind w:left="2160" w:hanging="360"/>
      </w:pPr>
    </w:lvl>
    <w:lvl w:ilvl="3" w:tplc="173CA7B2" w:tentative="1">
      <w:start w:val="1"/>
      <w:numFmt w:val="decimal"/>
      <w:lvlText w:val="%4."/>
      <w:lvlJc w:val="left"/>
      <w:pPr>
        <w:tabs>
          <w:tab w:val="num" w:pos="2880"/>
        </w:tabs>
        <w:ind w:left="2880" w:hanging="360"/>
      </w:pPr>
    </w:lvl>
    <w:lvl w:ilvl="4" w:tplc="F8DA8AA6" w:tentative="1">
      <w:start w:val="1"/>
      <w:numFmt w:val="decimal"/>
      <w:lvlText w:val="%5."/>
      <w:lvlJc w:val="left"/>
      <w:pPr>
        <w:tabs>
          <w:tab w:val="num" w:pos="3600"/>
        </w:tabs>
        <w:ind w:left="3600" w:hanging="360"/>
      </w:pPr>
    </w:lvl>
    <w:lvl w:ilvl="5" w:tplc="71F66778" w:tentative="1">
      <w:start w:val="1"/>
      <w:numFmt w:val="decimal"/>
      <w:lvlText w:val="%6."/>
      <w:lvlJc w:val="left"/>
      <w:pPr>
        <w:tabs>
          <w:tab w:val="num" w:pos="4320"/>
        </w:tabs>
        <w:ind w:left="4320" w:hanging="360"/>
      </w:pPr>
    </w:lvl>
    <w:lvl w:ilvl="6" w:tplc="DE8649E4" w:tentative="1">
      <w:start w:val="1"/>
      <w:numFmt w:val="decimal"/>
      <w:lvlText w:val="%7."/>
      <w:lvlJc w:val="left"/>
      <w:pPr>
        <w:tabs>
          <w:tab w:val="num" w:pos="5040"/>
        </w:tabs>
        <w:ind w:left="5040" w:hanging="360"/>
      </w:pPr>
    </w:lvl>
    <w:lvl w:ilvl="7" w:tplc="02724A20" w:tentative="1">
      <w:start w:val="1"/>
      <w:numFmt w:val="decimal"/>
      <w:lvlText w:val="%8."/>
      <w:lvlJc w:val="left"/>
      <w:pPr>
        <w:tabs>
          <w:tab w:val="num" w:pos="5760"/>
        </w:tabs>
        <w:ind w:left="5760" w:hanging="360"/>
      </w:pPr>
    </w:lvl>
    <w:lvl w:ilvl="8" w:tplc="18642C94" w:tentative="1">
      <w:start w:val="1"/>
      <w:numFmt w:val="decimal"/>
      <w:lvlText w:val="%9."/>
      <w:lvlJc w:val="left"/>
      <w:pPr>
        <w:tabs>
          <w:tab w:val="num" w:pos="6480"/>
        </w:tabs>
        <w:ind w:left="6480" w:hanging="360"/>
      </w:pPr>
    </w:lvl>
  </w:abstractNum>
  <w:abstractNum w:abstractNumId="23" w15:restartNumberingAfterBreak="0">
    <w:nsid w:val="5BBC00FC"/>
    <w:multiLevelType w:val="hybridMultilevel"/>
    <w:tmpl w:val="75D86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1D784A"/>
    <w:multiLevelType w:val="multilevel"/>
    <w:tmpl w:val="08389AC4"/>
    <w:lvl w:ilvl="0">
      <w:start w:val="1"/>
      <w:numFmt w:val="decimal"/>
      <w:lvlText w:val="%1.0"/>
      <w:lvlJc w:val="left"/>
      <w:pPr>
        <w:ind w:left="720" w:hanging="720"/>
      </w:pPr>
      <w:rPr>
        <w:rFonts w:hint="default"/>
      </w:rPr>
    </w:lvl>
    <w:lvl w:ilvl="1">
      <w:start w:val="1"/>
      <w:numFmt w:val="decimal"/>
      <w:pStyle w:val="Review3"/>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5FF45800"/>
    <w:multiLevelType w:val="hybridMultilevel"/>
    <w:tmpl w:val="8F540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1315F0"/>
    <w:multiLevelType w:val="hybridMultilevel"/>
    <w:tmpl w:val="8E0258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01E358A"/>
    <w:multiLevelType w:val="hybridMultilevel"/>
    <w:tmpl w:val="559C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714A4"/>
    <w:multiLevelType w:val="hybridMultilevel"/>
    <w:tmpl w:val="F364E38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EC0A64"/>
    <w:multiLevelType w:val="hybridMultilevel"/>
    <w:tmpl w:val="7F2A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75854"/>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E03440"/>
    <w:multiLevelType w:val="hybridMultilevel"/>
    <w:tmpl w:val="52F84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A75C1"/>
    <w:multiLevelType w:val="hybridMultilevel"/>
    <w:tmpl w:val="6990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9A3379"/>
    <w:multiLevelType w:val="hybridMultilevel"/>
    <w:tmpl w:val="F6FCB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2D661A"/>
    <w:multiLevelType w:val="hybridMultilevel"/>
    <w:tmpl w:val="4760A2F6"/>
    <w:lvl w:ilvl="0" w:tplc="028893F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5"/>
  </w:num>
  <w:num w:numId="5">
    <w:abstractNumId w:val="27"/>
  </w:num>
  <w:num w:numId="6">
    <w:abstractNumId w:val="10"/>
  </w:num>
  <w:num w:numId="7">
    <w:abstractNumId w:val="32"/>
  </w:num>
  <w:num w:numId="8">
    <w:abstractNumId w:val="29"/>
  </w:num>
  <w:num w:numId="9">
    <w:abstractNumId w:val="12"/>
  </w:num>
  <w:num w:numId="10">
    <w:abstractNumId w:val="5"/>
  </w:num>
  <w:num w:numId="11">
    <w:abstractNumId w:val="25"/>
  </w:num>
  <w:num w:numId="12">
    <w:abstractNumId w:val="2"/>
  </w:num>
  <w:num w:numId="13">
    <w:abstractNumId w:val="28"/>
  </w:num>
  <w:num w:numId="14">
    <w:abstractNumId w:val="11"/>
  </w:num>
  <w:num w:numId="15">
    <w:abstractNumId w:val="23"/>
  </w:num>
  <w:num w:numId="16">
    <w:abstractNumId w:val="4"/>
  </w:num>
  <w:num w:numId="17">
    <w:abstractNumId w:val="34"/>
  </w:num>
  <w:num w:numId="18">
    <w:abstractNumId w:val="7"/>
  </w:num>
  <w:num w:numId="19">
    <w:abstractNumId w:val="22"/>
  </w:num>
  <w:num w:numId="20">
    <w:abstractNumId w:val="18"/>
  </w:num>
  <w:num w:numId="21">
    <w:abstractNumId w:val="26"/>
  </w:num>
  <w:num w:numId="22">
    <w:abstractNumId w:val="33"/>
  </w:num>
  <w:num w:numId="23">
    <w:abstractNumId w:val="14"/>
  </w:num>
  <w:num w:numId="24">
    <w:abstractNumId w:val="16"/>
  </w:num>
  <w:num w:numId="25">
    <w:abstractNumId w:val="31"/>
  </w:num>
  <w:num w:numId="26">
    <w:abstractNumId w:val="13"/>
  </w:num>
  <w:num w:numId="27">
    <w:abstractNumId w:val="24"/>
  </w:num>
  <w:num w:numId="28">
    <w:abstractNumId w:val="21"/>
  </w:num>
  <w:num w:numId="29">
    <w:abstractNumId w:val="8"/>
  </w:num>
  <w:num w:numId="30">
    <w:abstractNumId w:val="20"/>
  </w:num>
  <w:num w:numId="31">
    <w:abstractNumId w:val="0"/>
  </w:num>
  <w:num w:numId="32">
    <w:abstractNumId w:val="1"/>
  </w:num>
  <w:num w:numId="33">
    <w:abstractNumId w:val="15"/>
  </w:num>
  <w:num w:numId="34">
    <w:abstractNumId w:val="9"/>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HOzh1yzfSG/CB9nL990U35dzHU5Kg1wTBp1Zj4eT8+QCY/sLS+S8KoedXboZhOPFgomJXoq1uqF+vvscqRRnbw==" w:salt="VXG1b4nM7G68gARj3Y7rd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C9"/>
    <w:rsid w:val="0004168C"/>
    <w:rsid w:val="00121C95"/>
    <w:rsid w:val="001B5972"/>
    <w:rsid w:val="00234B04"/>
    <w:rsid w:val="002C6B68"/>
    <w:rsid w:val="00360766"/>
    <w:rsid w:val="00366C45"/>
    <w:rsid w:val="004A1EC9"/>
    <w:rsid w:val="005079A4"/>
    <w:rsid w:val="00537F1E"/>
    <w:rsid w:val="0061383D"/>
    <w:rsid w:val="0063473C"/>
    <w:rsid w:val="006B3B08"/>
    <w:rsid w:val="006C1DD3"/>
    <w:rsid w:val="007A4A5D"/>
    <w:rsid w:val="007C0950"/>
    <w:rsid w:val="008100F0"/>
    <w:rsid w:val="008554FF"/>
    <w:rsid w:val="008E406C"/>
    <w:rsid w:val="009300F5"/>
    <w:rsid w:val="00934DCB"/>
    <w:rsid w:val="0096557B"/>
    <w:rsid w:val="009B46F4"/>
    <w:rsid w:val="00A01F11"/>
    <w:rsid w:val="00A956AD"/>
    <w:rsid w:val="00AE3EAE"/>
    <w:rsid w:val="00B3449B"/>
    <w:rsid w:val="00B36CCB"/>
    <w:rsid w:val="00B7772F"/>
    <w:rsid w:val="00B77B6B"/>
    <w:rsid w:val="00B81F46"/>
    <w:rsid w:val="00BA54B5"/>
    <w:rsid w:val="00C240FA"/>
    <w:rsid w:val="00C26784"/>
    <w:rsid w:val="00C34044"/>
    <w:rsid w:val="00C3450E"/>
    <w:rsid w:val="00C900F4"/>
    <w:rsid w:val="00D35AAB"/>
    <w:rsid w:val="00E0766F"/>
    <w:rsid w:val="00E50C40"/>
    <w:rsid w:val="00E60774"/>
    <w:rsid w:val="00E9011C"/>
    <w:rsid w:val="00EA4F0D"/>
    <w:rsid w:val="00F14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0D01"/>
  <w15:chartTrackingRefBased/>
  <w15:docId w15:val="{B50D8A5A-06CF-46BF-86E3-5253198E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C9"/>
    <w:pPr>
      <w:spacing w:after="200" w:line="276" w:lineRule="auto"/>
    </w:pPr>
    <w:rPr>
      <w:lang w:val="en-GB"/>
    </w:rPr>
  </w:style>
  <w:style w:type="paragraph" w:styleId="Heading1">
    <w:name w:val="heading 1"/>
    <w:basedOn w:val="Normal"/>
    <w:next w:val="Normal"/>
    <w:link w:val="Heading1Char"/>
    <w:uiPriority w:val="9"/>
    <w:qFormat/>
    <w:rsid w:val="00AE3E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EC9"/>
    <w:rPr>
      <w:color w:val="0563C1" w:themeColor="hyperlink"/>
      <w:u w:val="single"/>
    </w:rPr>
  </w:style>
  <w:style w:type="paragraph" w:styleId="Title">
    <w:name w:val="Title"/>
    <w:basedOn w:val="Normal"/>
    <w:link w:val="TitleChar"/>
    <w:qFormat/>
    <w:rsid w:val="004A1EC9"/>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4A1EC9"/>
    <w:rPr>
      <w:rFonts w:ascii="Arial" w:eastAsia="Times New Roman" w:hAnsi="Arial" w:cs="Times New Roman"/>
      <w:b/>
      <w:sz w:val="24"/>
      <w:szCs w:val="20"/>
      <w:u w:val="single"/>
      <w:lang w:eastAsia="ja-JP"/>
    </w:rPr>
  </w:style>
  <w:style w:type="paragraph" w:styleId="TOC1">
    <w:name w:val="toc 1"/>
    <w:basedOn w:val="Normal"/>
    <w:next w:val="Normal"/>
    <w:autoRedefine/>
    <w:uiPriority w:val="39"/>
    <w:unhideWhenUsed/>
    <w:rsid w:val="004A1EC9"/>
    <w:pPr>
      <w:tabs>
        <w:tab w:val="left" w:pos="1701"/>
        <w:tab w:val="right" w:leader="dot" w:pos="8931"/>
      </w:tabs>
      <w:spacing w:after="100"/>
      <w:ind w:left="1701" w:right="119" w:hanging="1134"/>
    </w:pPr>
    <w:rPr>
      <w:rFonts w:ascii="Arial" w:hAnsi="Arial" w:cs="Arial"/>
      <w:noProof/>
      <w:lang w:val="en-AU"/>
    </w:rPr>
  </w:style>
  <w:style w:type="character" w:customStyle="1" w:styleId="Heading1Char">
    <w:name w:val="Heading 1 Char"/>
    <w:basedOn w:val="DefaultParagraphFont"/>
    <w:link w:val="Heading1"/>
    <w:uiPriority w:val="9"/>
    <w:rsid w:val="00AE3EAE"/>
    <w:rPr>
      <w:rFonts w:asciiTheme="majorHAnsi" w:eastAsiaTheme="majorEastAsia" w:hAnsiTheme="majorHAnsi" w:cstheme="majorBidi"/>
      <w:b/>
      <w:bCs/>
      <w:color w:val="2F5496" w:themeColor="accent1" w:themeShade="BF"/>
      <w:sz w:val="28"/>
      <w:szCs w:val="28"/>
      <w:lang w:val="en-GB"/>
    </w:rPr>
  </w:style>
  <w:style w:type="table" w:styleId="TableGrid">
    <w:name w:val="Table Grid"/>
    <w:basedOn w:val="TableNormal"/>
    <w:uiPriority w:val="59"/>
    <w:rsid w:val="00AE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0F0"/>
    <w:pPr>
      <w:ind w:left="720"/>
      <w:contextualSpacing/>
    </w:pPr>
  </w:style>
  <w:style w:type="paragraph" w:styleId="Header">
    <w:name w:val="header"/>
    <w:basedOn w:val="Normal"/>
    <w:link w:val="HeaderChar"/>
    <w:uiPriority w:val="99"/>
    <w:unhideWhenUsed/>
    <w:rsid w:val="00C9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F4"/>
    <w:rPr>
      <w:lang w:val="en-GB"/>
    </w:rPr>
  </w:style>
  <w:style w:type="paragraph" w:styleId="Footer">
    <w:name w:val="footer"/>
    <w:basedOn w:val="Normal"/>
    <w:link w:val="FooterChar"/>
    <w:uiPriority w:val="99"/>
    <w:unhideWhenUsed/>
    <w:rsid w:val="00C9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F4"/>
    <w:rPr>
      <w:lang w:val="en-GB"/>
    </w:rPr>
  </w:style>
  <w:style w:type="paragraph" w:styleId="BalloonText">
    <w:name w:val="Balloon Text"/>
    <w:basedOn w:val="Normal"/>
    <w:link w:val="BalloonTextChar"/>
    <w:uiPriority w:val="99"/>
    <w:semiHidden/>
    <w:unhideWhenUsed/>
    <w:rsid w:val="00C34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44"/>
    <w:rPr>
      <w:rFonts w:ascii="Segoe UI" w:hAnsi="Segoe UI" w:cs="Segoe UI"/>
      <w:sz w:val="18"/>
      <w:szCs w:val="18"/>
      <w:lang w:val="en-GB"/>
    </w:rPr>
  </w:style>
  <w:style w:type="paragraph" w:styleId="Caption">
    <w:name w:val="caption"/>
    <w:basedOn w:val="Normal"/>
    <w:next w:val="Normal"/>
    <w:uiPriority w:val="35"/>
    <w:unhideWhenUsed/>
    <w:qFormat/>
    <w:rsid w:val="001B5972"/>
    <w:pPr>
      <w:spacing w:line="240" w:lineRule="auto"/>
    </w:pPr>
    <w:rPr>
      <w:i/>
      <w:iCs/>
      <w:color w:val="44546A" w:themeColor="text2"/>
      <w:sz w:val="18"/>
      <w:szCs w:val="18"/>
    </w:rPr>
  </w:style>
  <w:style w:type="paragraph" w:customStyle="1" w:styleId="Subsection">
    <w:name w:val="Subsection"/>
    <w:rsid w:val="002C6B68"/>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Review3">
    <w:name w:val="Review3"/>
    <w:basedOn w:val="Normal"/>
    <w:qFormat/>
    <w:rsid w:val="00F14AAC"/>
    <w:pPr>
      <w:numPr>
        <w:ilvl w:val="1"/>
        <w:numId w:val="27"/>
      </w:numPr>
      <w:spacing w:before="240" w:after="240" w:line="240" w:lineRule="auto"/>
      <w:jc w:val="both"/>
    </w:pPr>
    <w:rPr>
      <w:rFonts w:ascii="Berlin Sans FB Demi" w:eastAsia="Times New Roman" w:hAnsi="Berlin Sans FB Demi" w:cs="Times New Roman"/>
      <w:b/>
      <w:color w:val="660066"/>
      <w:sz w:val="32"/>
      <w:szCs w:val="32"/>
      <w:lang w:val="en-US" w:eastAsia="en-AU"/>
    </w:rPr>
  </w:style>
  <w:style w:type="table" w:customStyle="1" w:styleId="TableGrid1">
    <w:name w:val="Table Grid1"/>
    <w:basedOn w:val="TableNormal"/>
    <w:next w:val="TableGrid"/>
    <w:uiPriority w:val="59"/>
    <w:rsid w:val="00F14A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8827675C6F0152438979EE4A174ABD0E" ma:contentTypeVersion="13" ma:contentTypeDescription="" ma:contentTypeScope="" ma:versionID="672d6461e8ae9ec8b3e2941f1bb32443">
  <xsd:schema xmlns:xsd="http://www.w3.org/2001/XMLSchema" xmlns:xs="http://www.w3.org/2001/XMLSchema" xmlns:p="http://schemas.microsoft.com/office/2006/metadata/properties" xmlns:ns1="http://schemas.microsoft.com/sharepoint/v3" xmlns:ns2="a4569545-3f5c-4d76-b5ef-e21c01e673e6" xmlns:ns3="02b462e0-950b-4d18-8f56-efe6ec8fd98e" xmlns:ns4="95e92784-628d-4a63-99ef-bc00abeaba1b" xmlns:ns5="82dc8473-40ba-4f11-b935-f34260e482de" xmlns:ns6="75fbef25-a7e9-4d68-97fa-58794d643c0f" xmlns:ns7="afb87518-38e8-4db1-bd81-93468dc308d3" targetNamespace="http://schemas.microsoft.com/office/2006/metadata/properties" ma:root="true" ma:fieldsID="01872b649d37e20e35ba2e9fc6afdbc4" ns1:_="" ns2:_="" ns3:_="" ns4:_="" ns5:_="" ns6:_="" ns7:_="">
    <xsd:import namespace="http://schemas.microsoft.com/sharepoint/v3"/>
    <xsd:import namespace="a4569545-3f5c-4d76-b5ef-e21c01e673e6"/>
    <xsd:import namespace="02b462e0-950b-4d18-8f56-efe6ec8fd98e"/>
    <xsd:import namespace="95e92784-628d-4a63-99ef-bc00abeaba1b"/>
    <xsd:import namespace="82dc8473-40ba-4f11-b935-f34260e482de"/>
    <xsd:import namespace="75fbef25-a7e9-4d68-97fa-58794d643c0f"/>
    <xsd:import namespace="afb87518-38e8-4db1-bd81-93468dc308d3"/>
    <xsd:element name="properties">
      <xsd:complexType>
        <xsd:sequence>
          <xsd:element name="documentManagement">
            <xsd:complexType>
              <xsd:all>
                <xsd:element ref="ns2:Additional_x0020_Info" minOccurs="0"/>
                <xsd:element ref="ns4:eDMS_x0020_Library"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AutoTags" minOccurs="0"/>
                <xsd:element ref="ns7:SharedWithUsers" minOccurs="0"/>
                <xsd:element ref="ns7:SharedWithDetails"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E073DDE-38F6-43F9-ADDE-22CA92F9B004}" ma:internalName="TaxCatchAll" ma:showField="CatchAllData" ma:web="{95e92784-628d-4a63-99ef-bc00abeaba1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E073DDE-38F6-43F9-ADDE-22CA92F9B004}" ma:internalName="TaxCatchAllLabel" ma:readOnly="true" ma:showField="CatchAllDataLabel" ma:web="{95e92784-628d-4a63-99ef-bc00abeaba1b}">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92784-628d-4a63-99ef-bc00abeaba1b" elementFormDefault="qualified">
    <xsd:import namespace="http://schemas.microsoft.com/office/2006/documentManagement/types"/>
    <xsd:import namespace="http://schemas.microsoft.com/office/infopath/2007/PartnerControls"/>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fbef25-a7e9-4d68-97fa-58794d643c0f"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87518-38e8-4db1-bd81-93468dc308d3"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02e9e884-90b9-44af-9df4-f8652fd917a9</TermId>
        </TermInfo>
      </Terms>
    </l5218a67820a405eab41420940e22386>
    <TaxCatchAll xmlns="02b462e0-950b-4d18-8f56-efe6ec8fd98e">
      <Value>19</Value>
      <Value>24</Value>
      <Value>2</Value>
      <Value>50</Value>
      <Value>1</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Technical Services</TermName>
          <TermId xmlns="http://schemas.microsoft.com/office/infopath/2007/PartnerControls">e0dc8136-6fa4-427d-9422-4810461d2634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_dlc_DocId xmlns="02b462e0-950b-4d18-8f56-efe6ec8fd98e">TECH-30566075-1354</_dlc_DocId>
    <_dlc_DocIdUrl xmlns="02b462e0-950b-4d18-8f56-efe6ec8fd98e">
      <Url>https://nedlands365.sharepoint.com/sites/technical/management/_layouts/15/DocIdRedir.aspx?ID=TECH-30566075-1354</Url>
      <Description>TECH-30566075-1354</Description>
    </_dlc_DocIdUrl>
    <eDMS_x0020_Library xmlns="95e92784-628d-4a63-99ef-bc00abeaba1b">Reporting</eDMS_x0020_Library>
    <Additional_x0020_Info xmlns="a4569545-3f5c-4d76-b5ef-e21c01e673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0ED3E-0A23-4D7C-B632-4E23115E4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95e92784-628d-4a63-99ef-bc00abeaba1b"/>
    <ds:schemaRef ds:uri="82dc8473-40ba-4f11-b935-f34260e482de"/>
    <ds:schemaRef ds:uri="75fbef25-a7e9-4d68-97fa-58794d643c0f"/>
    <ds:schemaRef ds:uri="afb87518-38e8-4db1-bd81-93468dc30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767CC-3E08-43FF-BD2C-CF58D14B6689}">
  <ds:schemaRefs>
    <ds:schemaRef ds:uri="http://purl.org/dc/dcmitype/"/>
    <ds:schemaRef ds:uri="02b462e0-950b-4d18-8f56-efe6ec8fd98e"/>
    <ds:schemaRef ds:uri="http://schemas.microsoft.com/office/2006/documentManagement/types"/>
    <ds:schemaRef ds:uri="http://schemas.microsoft.com/office/2006/metadata/properties"/>
    <ds:schemaRef ds:uri="http://schemas.microsoft.com/sharepoint/v3"/>
    <ds:schemaRef ds:uri="a4569545-3f5c-4d76-b5ef-e21c01e673e6"/>
    <ds:schemaRef ds:uri="http://schemas.openxmlformats.org/package/2006/metadata/core-properties"/>
    <ds:schemaRef ds:uri="http://purl.org/dc/terms/"/>
    <ds:schemaRef ds:uri="http://schemas.microsoft.com/office/infopath/2007/PartnerControls"/>
    <ds:schemaRef ds:uri="afb87518-38e8-4db1-bd81-93468dc308d3"/>
    <ds:schemaRef ds:uri="75fbef25-a7e9-4d68-97fa-58794d643c0f"/>
    <ds:schemaRef ds:uri="82dc8473-40ba-4f11-b935-f34260e482de"/>
    <ds:schemaRef ds:uri="95e92784-628d-4a63-99ef-bc00abeaba1b"/>
    <ds:schemaRef ds:uri="http://www.w3.org/XML/1998/namespace"/>
    <ds:schemaRef ds:uri="http://purl.org/dc/elements/1.1/"/>
  </ds:schemaRefs>
</ds:datastoreItem>
</file>

<file path=customXml/itemProps3.xml><?xml version="1.0" encoding="utf-8"?>
<ds:datastoreItem xmlns:ds="http://schemas.openxmlformats.org/officeDocument/2006/customXml" ds:itemID="{F5F16309-A8AB-4461-9EF1-F572AAF02CC7}">
  <ds:schemaRefs>
    <ds:schemaRef ds:uri="http://schemas.microsoft.com/sharepoint/v3/contenttype/forms"/>
  </ds:schemaRefs>
</ds:datastoreItem>
</file>

<file path=customXml/itemProps4.xml><?xml version="1.0" encoding="utf-8"?>
<ds:datastoreItem xmlns:ds="http://schemas.openxmlformats.org/officeDocument/2006/customXml" ds:itemID="{2F2EFDF1-881C-42E2-BBD7-EED513814104}">
  <ds:schemaRefs>
    <ds:schemaRef ds:uri="http://schemas.microsoft.com/sharepoint/events"/>
  </ds:schemaRefs>
</ds:datastoreItem>
</file>

<file path=customXml/itemProps5.xml><?xml version="1.0" encoding="utf-8"?>
<ds:datastoreItem xmlns:ds="http://schemas.openxmlformats.org/officeDocument/2006/customXml" ds:itemID="{BF1BA034-71A6-4BEA-A4C5-D568B916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8EA61A04</Template>
  <TotalTime>4</TotalTime>
  <Pages>5</Pages>
  <Words>1459</Words>
  <Characters>8317</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Graff</dc:creator>
  <cp:keywords/>
  <dc:description/>
  <cp:lastModifiedBy>Corinne Graff</cp:lastModifiedBy>
  <cp:revision>9</cp:revision>
  <cp:lastPrinted>2019-11-22T05:30:00Z</cp:lastPrinted>
  <dcterms:created xsi:type="dcterms:W3CDTF">2019-11-21T03:07:00Z</dcterms:created>
  <dcterms:modified xsi:type="dcterms:W3CDTF">2019-11-27T01:42:00Z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0x010100DBE2AFA49EAD6847BCAE523F8D149C8E008827675C6F0152438979EE4A174ABD0E</vt:lpwstr>
  </property>
  <property fmtid="{D5CDD505-2E9C-101B-9397-08002B2CF9AE}" pid="3" name="Function">
    <vt:lpwstr>2;#Technical Services|e0dc8136-6fa4-427d-9422-4810461d2634</vt:lpwstr>
  </property>
  <property fmtid="{D5CDD505-2E9C-101B-9397-08002B2CF9AE}" pid="4" name="Entity">
    <vt:lpwstr>1;#City of Nedlands|e1cb6260-fbdb-4707-a83e-0c933e524b72</vt:lpwstr>
  </property>
  <property fmtid="{D5CDD505-2E9C-101B-9397-08002B2CF9AE}" pid="5" name="eDMS Site">
    <vt:lpwstr>19;#Management|02e9e884-90b9-44af-9df4-f8652fd917a9</vt:lpwstr>
  </property>
  <property fmtid="{D5CDD505-2E9C-101B-9397-08002B2CF9AE}" pid="6" name="Activity">
    <vt:lpwstr>24;#Reporting|5fd962d2-f821-4c18-a4ee-1d01fb588008</vt:lpwstr>
  </property>
  <property fmtid="{D5CDD505-2E9C-101B-9397-08002B2CF9AE}" pid="7" name="Subject Matter">
    <vt:lpwstr>50;#Report|34f37885-3e58-4ea1-beb6-41a6027b494b</vt:lpwstr>
  </property>
  <property fmtid="{D5CDD505-2E9C-101B-9397-08002B2CF9AE}" pid="8" name="_dlc_DocIdItemGuid">
    <vt:lpwstr>ab2140ef-def4-4af2-b5b3-f2db52b04cca</vt:lpwstr>
  </property>
</Properties>
</file>