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ABDE6A5"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4C1D50">
        <w:rPr>
          <w:rFonts w:cs="Arial"/>
          <w:iCs/>
          <w:sz w:val="28"/>
          <w:szCs w:val="160"/>
          <w:u w:val="none"/>
          <w:lang w:eastAsia="en-GB"/>
        </w:rPr>
        <w:t>13 August</w:t>
      </w:r>
      <w:r w:rsidR="00236155">
        <w:rPr>
          <w:rFonts w:cs="Arial"/>
          <w:iCs/>
          <w:sz w:val="28"/>
          <w:szCs w:val="160"/>
          <w:u w:val="none"/>
          <w:lang w:eastAsia="en-GB"/>
        </w:rPr>
        <w:t xml:space="preserve"> 2019</w:t>
      </w:r>
    </w:p>
    <w:p w14:paraId="713C6071" w14:textId="316A0154"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Council Resolution –</w:t>
      </w:r>
      <w:r w:rsidR="00FD4196">
        <w:rPr>
          <w:rFonts w:cs="Arial"/>
          <w:iCs/>
          <w:sz w:val="28"/>
          <w:szCs w:val="160"/>
          <w:u w:val="none"/>
          <w:lang w:eastAsia="en-GB"/>
        </w:rPr>
        <w:t xml:space="preserve"> 2</w:t>
      </w:r>
      <w:r w:rsidR="004C1D50">
        <w:rPr>
          <w:rFonts w:cs="Arial"/>
          <w:iCs/>
          <w:sz w:val="28"/>
          <w:szCs w:val="160"/>
          <w:u w:val="none"/>
          <w:lang w:eastAsia="en-GB"/>
        </w:rPr>
        <w:t xml:space="preserve">7 </w:t>
      </w:r>
      <w:proofErr w:type="gramStart"/>
      <w:r w:rsidR="004C1D50">
        <w:rPr>
          <w:rFonts w:cs="Arial"/>
          <w:iCs/>
          <w:sz w:val="28"/>
          <w:szCs w:val="160"/>
          <w:u w:val="none"/>
          <w:lang w:eastAsia="en-GB"/>
        </w:rPr>
        <w:t xml:space="preserve">August </w:t>
      </w:r>
      <w:r w:rsidR="00FD4196">
        <w:rPr>
          <w:rFonts w:cs="Arial"/>
          <w:iCs/>
          <w:sz w:val="28"/>
          <w:szCs w:val="160"/>
          <w:u w:val="none"/>
          <w:lang w:eastAsia="en-GB"/>
        </w:rPr>
        <w:t xml:space="preserve"> </w:t>
      </w:r>
      <w:r w:rsidR="00236155">
        <w:rPr>
          <w:rFonts w:cs="Arial"/>
          <w:iCs/>
          <w:sz w:val="28"/>
          <w:szCs w:val="160"/>
          <w:u w:val="none"/>
          <w:lang w:eastAsia="en-GB"/>
        </w:rPr>
        <w:t>2019</w:t>
      </w:r>
      <w:proofErr w:type="gramEnd"/>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3E28024D" w14:textId="1A1CB807" w:rsidR="00DF7A44" w:rsidRPr="00DF7A44" w:rsidRDefault="00940B70">
          <w:pPr>
            <w:pStyle w:val="TOC1"/>
            <w:tabs>
              <w:tab w:val="left" w:pos="1320"/>
              <w:tab w:val="right" w:leader="dot" w:pos="9016"/>
            </w:tabs>
            <w:rPr>
              <w:rFonts w:ascii="Arial" w:eastAsiaTheme="minorEastAsia" w:hAnsi="Arial" w:cs="Arial"/>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15992171" w:history="1">
            <w:r w:rsidR="00DF7A44" w:rsidRPr="00DF7A44">
              <w:rPr>
                <w:rStyle w:val="Hyperlink"/>
                <w:rFonts w:ascii="Arial" w:hAnsi="Arial" w:cs="Arial"/>
                <w:noProof/>
                <w:lang w:val="en-AU"/>
              </w:rPr>
              <w:t>CPS12.19</w:t>
            </w:r>
            <w:r w:rsidR="00DF7A44" w:rsidRPr="00DF7A44">
              <w:rPr>
                <w:rFonts w:ascii="Arial" w:eastAsiaTheme="minorEastAsia" w:hAnsi="Arial" w:cs="Arial"/>
                <w:noProof/>
                <w:lang w:val="en-AU" w:eastAsia="en-AU"/>
              </w:rPr>
              <w:tab/>
            </w:r>
            <w:r w:rsidR="00DF7A44" w:rsidRPr="00DF7A44">
              <w:rPr>
                <w:rStyle w:val="Hyperlink"/>
                <w:rFonts w:ascii="Arial" w:hAnsi="Arial" w:cs="Arial"/>
                <w:noProof/>
                <w:lang w:val="en-AU"/>
              </w:rPr>
              <w:t>List of Accounts Paid – June 2019</w:t>
            </w:r>
            <w:r w:rsidR="00DF7A44" w:rsidRPr="00DF7A44">
              <w:rPr>
                <w:rFonts w:ascii="Arial" w:hAnsi="Arial" w:cs="Arial"/>
                <w:noProof/>
                <w:webHidden/>
              </w:rPr>
              <w:tab/>
            </w:r>
            <w:r w:rsidR="00DF7A44" w:rsidRPr="00DF7A44">
              <w:rPr>
                <w:rFonts w:ascii="Arial" w:hAnsi="Arial" w:cs="Arial"/>
                <w:noProof/>
                <w:webHidden/>
              </w:rPr>
              <w:fldChar w:fldCharType="begin"/>
            </w:r>
            <w:r w:rsidR="00DF7A44" w:rsidRPr="00DF7A44">
              <w:rPr>
                <w:rFonts w:ascii="Arial" w:hAnsi="Arial" w:cs="Arial"/>
                <w:noProof/>
                <w:webHidden/>
              </w:rPr>
              <w:instrText xml:space="preserve"> PAGEREF _Toc15992171 \h </w:instrText>
            </w:r>
            <w:r w:rsidR="00DF7A44" w:rsidRPr="00DF7A44">
              <w:rPr>
                <w:rFonts w:ascii="Arial" w:hAnsi="Arial" w:cs="Arial"/>
                <w:noProof/>
                <w:webHidden/>
              </w:rPr>
            </w:r>
            <w:r w:rsidR="00DF7A44" w:rsidRPr="00DF7A44">
              <w:rPr>
                <w:rFonts w:ascii="Arial" w:hAnsi="Arial" w:cs="Arial"/>
                <w:noProof/>
                <w:webHidden/>
              </w:rPr>
              <w:fldChar w:fldCharType="separate"/>
            </w:r>
            <w:r w:rsidR="009C7393">
              <w:rPr>
                <w:rFonts w:ascii="Arial" w:hAnsi="Arial" w:cs="Arial"/>
                <w:noProof/>
                <w:webHidden/>
              </w:rPr>
              <w:t>2</w:t>
            </w:r>
            <w:r w:rsidR="00DF7A44" w:rsidRPr="00DF7A44">
              <w:rPr>
                <w:rFonts w:ascii="Arial" w:hAnsi="Arial" w:cs="Arial"/>
                <w:noProof/>
                <w:webHidden/>
              </w:rPr>
              <w:fldChar w:fldCharType="end"/>
            </w:r>
          </w:hyperlink>
        </w:p>
        <w:p w14:paraId="1FED2276" w14:textId="6DFB9A9C" w:rsidR="00DF7A44" w:rsidRPr="00DF7A44" w:rsidRDefault="00EC444C">
          <w:pPr>
            <w:pStyle w:val="TOC1"/>
            <w:tabs>
              <w:tab w:val="left" w:pos="1320"/>
              <w:tab w:val="right" w:leader="dot" w:pos="9016"/>
            </w:tabs>
            <w:rPr>
              <w:rFonts w:ascii="Arial" w:eastAsiaTheme="minorEastAsia" w:hAnsi="Arial" w:cs="Arial"/>
              <w:noProof/>
              <w:lang w:val="en-AU" w:eastAsia="en-AU"/>
            </w:rPr>
          </w:pPr>
          <w:hyperlink w:anchor="_Toc15992172" w:history="1">
            <w:r w:rsidR="00DF7A44" w:rsidRPr="00DF7A44">
              <w:rPr>
                <w:rStyle w:val="Hyperlink"/>
                <w:rFonts w:ascii="Arial" w:hAnsi="Arial" w:cs="Arial"/>
                <w:noProof/>
                <w:lang w:val="en-AU"/>
              </w:rPr>
              <w:t xml:space="preserve">CPS13.19 </w:t>
            </w:r>
            <w:r w:rsidR="00DF7A44" w:rsidRPr="00DF7A44">
              <w:rPr>
                <w:rFonts w:ascii="Arial" w:eastAsiaTheme="minorEastAsia" w:hAnsi="Arial" w:cs="Arial"/>
                <w:noProof/>
                <w:lang w:val="en-AU" w:eastAsia="en-AU"/>
              </w:rPr>
              <w:tab/>
            </w:r>
            <w:r w:rsidR="00DF7A44" w:rsidRPr="00DF7A44">
              <w:rPr>
                <w:rStyle w:val="Hyperlink"/>
                <w:rFonts w:ascii="Arial" w:hAnsi="Arial" w:cs="Arial"/>
                <w:noProof/>
                <w:lang w:val="en-AU"/>
              </w:rPr>
              <w:t>Tawarri Redevelopment Heads of Agreement</w:t>
            </w:r>
            <w:r w:rsidR="00DF7A44" w:rsidRPr="00DF7A44">
              <w:rPr>
                <w:rFonts w:ascii="Arial" w:hAnsi="Arial" w:cs="Arial"/>
                <w:noProof/>
                <w:webHidden/>
              </w:rPr>
              <w:tab/>
            </w:r>
            <w:r w:rsidR="00DF7A44" w:rsidRPr="00DF7A44">
              <w:rPr>
                <w:rFonts w:ascii="Arial" w:hAnsi="Arial" w:cs="Arial"/>
                <w:noProof/>
                <w:webHidden/>
              </w:rPr>
              <w:fldChar w:fldCharType="begin"/>
            </w:r>
            <w:r w:rsidR="00DF7A44" w:rsidRPr="00DF7A44">
              <w:rPr>
                <w:rFonts w:ascii="Arial" w:hAnsi="Arial" w:cs="Arial"/>
                <w:noProof/>
                <w:webHidden/>
              </w:rPr>
              <w:instrText xml:space="preserve"> PAGEREF _Toc15992172 \h </w:instrText>
            </w:r>
            <w:r w:rsidR="00DF7A44" w:rsidRPr="00DF7A44">
              <w:rPr>
                <w:rFonts w:ascii="Arial" w:hAnsi="Arial" w:cs="Arial"/>
                <w:noProof/>
                <w:webHidden/>
              </w:rPr>
            </w:r>
            <w:r w:rsidR="00DF7A44" w:rsidRPr="00DF7A44">
              <w:rPr>
                <w:rFonts w:ascii="Arial" w:hAnsi="Arial" w:cs="Arial"/>
                <w:noProof/>
                <w:webHidden/>
              </w:rPr>
              <w:fldChar w:fldCharType="separate"/>
            </w:r>
            <w:r w:rsidR="009C7393">
              <w:rPr>
                <w:rFonts w:ascii="Arial" w:hAnsi="Arial" w:cs="Arial"/>
                <w:noProof/>
                <w:webHidden/>
              </w:rPr>
              <w:t>4</w:t>
            </w:r>
            <w:r w:rsidR="00DF7A44" w:rsidRPr="00DF7A44">
              <w:rPr>
                <w:rFonts w:ascii="Arial" w:hAnsi="Arial" w:cs="Arial"/>
                <w:noProof/>
                <w:webHidden/>
              </w:rPr>
              <w:fldChar w:fldCharType="end"/>
            </w:r>
          </w:hyperlink>
        </w:p>
        <w:p w14:paraId="17722DCC" w14:textId="59A5868F"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54D61FD9"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15992171"/>
            <w:r>
              <w:rPr>
                <w:rFonts w:ascii="Arial" w:hAnsi="Arial" w:cs="Arial"/>
                <w:color w:val="auto"/>
                <w:lang w:val="en-AU"/>
              </w:rPr>
              <w:lastRenderedPageBreak/>
              <w:t>CPS</w:t>
            </w:r>
            <w:r w:rsidR="005D2BF8">
              <w:rPr>
                <w:rFonts w:ascii="Arial" w:hAnsi="Arial" w:cs="Arial"/>
                <w:color w:val="auto"/>
                <w:lang w:val="en-AU"/>
              </w:rPr>
              <w:t>12</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4C1D50">
              <w:rPr>
                <w:rFonts w:ascii="Arial" w:hAnsi="Arial" w:cs="Arial"/>
                <w:color w:val="auto"/>
                <w:lang w:val="en-AU"/>
              </w:rPr>
              <w:t>June</w:t>
            </w:r>
            <w:r w:rsidR="00E57D18">
              <w:rPr>
                <w:rFonts w:ascii="Arial" w:hAnsi="Arial" w:cs="Arial"/>
                <w:color w:val="auto"/>
                <w:lang w:val="en-AU"/>
              </w:rPr>
              <w:t xml:space="preserve">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4E54C35D" w:rsidR="00DD5B71" w:rsidRPr="008A1B93" w:rsidRDefault="004C1D50" w:rsidP="00C362F3">
            <w:pPr>
              <w:jc w:val="both"/>
              <w:rPr>
                <w:rFonts w:ascii="Arial" w:hAnsi="Arial" w:cs="Arial"/>
                <w:sz w:val="24"/>
                <w:szCs w:val="24"/>
                <w:lang w:val="en-AU"/>
              </w:rPr>
            </w:pPr>
            <w:r>
              <w:rPr>
                <w:rFonts w:ascii="Arial" w:hAnsi="Arial" w:cs="Arial"/>
                <w:sz w:val="24"/>
                <w:szCs w:val="24"/>
                <w:lang w:val="en-AU"/>
              </w:rPr>
              <w:t>13 August</w:t>
            </w:r>
            <w:r w:rsidR="009D4DA9">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453390A4" w:rsidR="00DD5B71" w:rsidRPr="008A1B93" w:rsidRDefault="004C1D50" w:rsidP="00C15984">
            <w:pPr>
              <w:jc w:val="both"/>
              <w:rPr>
                <w:rFonts w:ascii="Arial" w:hAnsi="Arial" w:cs="Arial"/>
                <w:sz w:val="24"/>
                <w:szCs w:val="24"/>
                <w:lang w:val="en-AU"/>
              </w:rPr>
            </w:pPr>
            <w:r>
              <w:rPr>
                <w:rFonts w:ascii="Arial" w:hAnsi="Arial" w:cs="Arial"/>
                <w:sz w:val="24"/>
                <w:szCs w:val="24"/>
                <w:lang w:val="en-AU"/>
              </w:rPr>
              <w:t>27 August</w:t>
            </w:r>
            <w:r w:rsidR="009D4DA9">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112A" w:rsidRPr="008A1B93" w14:paraId="58292947" w14:textId="77777777" w:rsidTr="00836ABE">
        <w:tc>
          <w:tcPr>
            <w:tcW w:w="2357" w:type="dxa"/>
          </w:tcPr>
          <w:p w14:paraId="58292945" w14:textId="3F5AE50C" w:rsidR="00DD112A" w:rsidRPr="00DD5B71" w:rsidRDefault="00DD112A" w:rsidP="00DD112A">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50799133" w:rsidR="00DD112A" w:rsidRPr="008A1B93" w:rsidRDefault="00DD112A" w:rsidP="00DD112A">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0FE2CFA2"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4C1D50">
              <w:rPr>
                <w:rFonts w:ascii="Arial" w:hAnsi="Arial" w:cs="Arial"/>
                <w:sz w:val="24"/>
                <w:szCs w:val="32"/>
                <w:lang w:val="en-US"/>
              </w:rPr>
              <w:t>June</w:t>
            </w:r>
            <w:r w:rsidR="00545DE2">
              <w:rPr>
                <w:rFonts w:ascii="Arial" w:hAnsi="Arial" w:cs="Arial"/>
                <w:sz w:val="24"/>
                <w:szCs w:val="32"/>
                <w:lang w:val="en-US"/>
              </w:rPr>
              <w:t xml:space="preserve"> 2019</w:t>
            </w:r>
          </w:p>
          <w:p w14:paraId="3B1B5B2A" w14:textId="77777777" w:rsidR="006132F0"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4C1D50">
              <w:rPr>
                <w:rFonts w:ascii="Arial" w:hAnsi="Arial" w:cs="Arial"/>
                <w:sz w:val="24"/>
                <w:szCs w:val="32"/>
                <w:lang w:val="en-US"/>
              </w:rPr>
              <w:t>June</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545DE2">
              <w:rPr>
                <w:rFonts w:ascii="Arial" w:hAnsi="Arial" w:cs="Arial"/>
                <w:sz w:val="24"/>
                <w:szCs w:val="32"/>
                <w:lang w:val="en-US"/>
              </w:rPr>
              <w:t xml:space="preserve"> </w:t>
            </w:r>
            <w:r w:rsidR="004C1D50">
              <w:rPr>
                <w:rFonts w:ascii="Arial" w:hAnsi="Arial" w:cs="Arial"/>
                <w:sz w:val="24"/>
                <w:szCs w:val="32"/>
                <w:lang w:val="en-US"/>
              </w:rPr>
              <w:t xml:space="preserve">May </w:t>
            </w:r>
            <w:r w:rsidR="00545DE2">
              <w:rPr>
                <w:rFonts w:ascii="Arial" w:hAnsi="Arial" w:cs="Arial"/>
                <w:sz w:val="24"/>
                <w:szCs w:val="32"/>
                <w:lang w:val="en-US"/>
              </w:rPr>
              <w:t>201</w:t>
            </w:r>
            <w:r w:rsidR="004D37CA">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 xml:space="preserve">28 </w:t>
            </w:r>
            <w:r w:rsidR="004C1D50">
              <w:rPr>
                <w:rFonts w:ascii="Arial" w:hAnsi="Arial" w:cs="Arial"/>
                <w:sz w:val="24"/>
                <w:szCs w:val="32"/>
                <w:lang w:val="en-US"/>
              </w:rPr>
              <w:t>June</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p w14:paraId="58292952" w14:textId="6DD8B035" w:rsidR="00392C38" w:rsidRPr="001C0F2D" w:rsidRDefault="00392C38"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CEO Corporate Card (28 March 2019 </w:t>
            </w:r>
            <w:r w:rsidR="000771C1">
              <w:rPr>
                <w:rFonts w:ascii="Arial" w:hAnsi="Arial" w:cs="Arial"/>
                <w:sz w:val="24"/>
                <w:szCs w:val="32"/>
                <w:lang w:val="en-US"/>
              </w:rPr>
              <w:t>– 27 June 2019)</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029192B4"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4C1D50">
        <w:rPr>
          <w:rFonts w:ascii="Arial" w:hAnsi="Arial" w:cs="Arial"/>
          <w:b/>
          <w:sz w:val="24"/>
          <w:szCs w:val="32"/>
          <w:lang w:val="en-US"/>
        </w:rPr>
        <w:t>June</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780BB094" w14:textId="77777777" w:rsidR="00DD112A" w:rsidRDefault="00DD112A">
      <w:pPr>
        <w:rPr>
          <w:rFonts w:ascii="Arial" w:hAnsi="Arial" w:cs="Arial"/>
          <w:b/>
          <w:sz w:val="24"/>
          <w:szCs w:val="32"/>
          <w:lang w:val="en-US"/>
        </w:rPr>
      </w:pPr>
      <w:r>
        <w:rPr>
          <w:rFonts w:ascii="Arial" w:hAnsi="Arial" w:cs="Arial"/>
          <w:b/>
          <w:sz w:val="24"/>
          <w:szCs w:val="32"/>
          <w:lang w:val="en-US"/>
        </w:rPr>
        <w:br w:type="page"/>
      </w:r>
    </w:p>
    <w:p w14:paraId="58292972" w14:textId="41912380"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3FE9F86C"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4C1D50">
        <w:rPr>
          <w:rFonts w:ascii="Arial" w:hAnsi="Arial" w:cs="Arial"/>
          <w:sz w:val="24"/>
          <w:szCs w:val="32"/>
          <w:lang w:val="en-US"/>
        </w:rPr>
        <w:t>June</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EC444C">
        <w:rPr>
          <w:rFonts w:ascii="Arial" w:hAnsi="Arial" w:cs="Arial"/>
          <w:sz w:val="24"/>
          <w:szCs w:val="32"/>
          <w:lang w:val="en-US"/>
        </w:rPr>
      </w:r>
      <w:r w:rsidR="00EC444C">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C444C">
        <w:rPr>
          <w:rFonts w:ascii="Arial" w:hAnsi="Arial" w:cs="Arial"/>
          <w:sz w:val="24"/>
          <w:szCs w:val="32"/>
          <w:lang w:val="en-US"/>
        </w:rPr>
      </w:r>
      <w:r w:rsidR="00EC444C">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C444C">
        <w:rPr>
          <w:rFonts w:ascii="Arial" w:hAnsi="Arial" w:cs="Arial"/>
          <w:sz w:val="24"/>
          <w:szCs w:val="32"/>
          <w:lang w:val="en-US"/>
        </w:rPr>
      </w:r>
      <w:r w:rsidR="00EC444C">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EC444C">
        <w:rPr>
          <w:rFonts w:ascii="Arial" w:hAnsi="Arial" w:cs="Arial"/>
          <w:sz w:val="24"/>
          <w:szCs w:val="32"/>
          <w:lang w:val="en-US"/>
        </w:rPr>
      </w:r>
      <w:r w:rsidR="00EC444C">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5A7F01B7" w14:textId="43284C36" w:rsidR="00962F08" w:rsidRDefault="00962F08">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962F08" w:rsidRPr="00586CC0" w14:paraId="5DCDF585" w14:textId="77777777" w:rsidTr="004D159E">
        <w:tc>
          <w:tcPr>
            <w:tcW w:w="9021" w:type="dxa"/>
          </w:tcPr>
          <w:p w14:paraId="3EDA752C" w14:textId="3FDF9822" w:rsidR="00962F08" w:rsidRPr="00586CC0" w:rsidRDefault="00962F08" w:rsidP="004D159E">
            <w:pPr>
              <w:pStyle w:val="Heading1"/>
              <w:spacing w:before="0"/>
              <w:ind w:left="2732" w:hanging="2698"/>
              <w:jc w:val="both"/>
              <w:outlineLvl w:val="0"/>
              <w:rPr>
                <w:rFonts w:ascii="Arial" w:hAnsi="Arial" w:cs="Arial"/>
                <w:b w:val="0"/>
                <w:bCs w:val="0"/>
                <w:color w:val="auto"/>
                <w:lang w:val="en-AU"/>
              </w:rPr>
            </w:pPr>
            <w:bookmarkStart w:id="3" w:name="_Toc15640438"/>
            <w:bookmarkStart w:id="4" w:name="_Toc15992172"/>
            <w:r w:rsidRPr="00D92BB0">
              <w:rPr>
                <w:rFonts w:ascii="Arial" w:hAnsi="Arial" w:cs="Arial"/>
                <w:color w:val="auto"/>
                <w:lang w:val="en-AU"/>
              </w:rPr>
              <w:lastRenderedPageBreak/>
              <w:t>CPS13.</w:t>
            </w:r>
            <w:r>
              <w:rPr>
                <w:rFonts w:ascii="Arial" w:hAnsi="Arial" w:cs="Arial"/>
                <w:color w:val="auto"/>
                <w:lang w:val="en-AU"/>
              </w:rPr>
              <w:t>19</w:t>
            </w:r>
            <w:r w:rsidRPr="00D92BB0">
              <w:rPr>
                <w:rFonts w:ascii="Arial" w:hAnsi="Arial" w:cs="Arial"/>
                <w:color w:val="auto"/>
                <w:lang w:val="en-AU"/>
              </w:rPr>
              <w:t xml:space="preserve"> </w:t>
            </w:r>
            <w:r w:rsidRPr="00D92BB0">
              <w:rPr>
                <w:rFonts w:ascii="Arial" w:hAnsi="Arial" w:cs="Arial"/>
                <w:color w:val="auto"/>
                <w:lang w:val="en-AU"/>
              </w:rPr>
              <w:tab/>
            </w:r>
            <w:r w:rsidRPr="00586CC0">
              <w:rPr>
                <w:rFonts w:ascii="Arial" w:hAnsi="Arial" w:cs="Arial"/>
                <w:color w:val="auto"/>
                <w:lang w:val="en-AU"/>
              </w:rPr>
              <w:t>Tawarri Redevelopment Heads of Agreement</w:t>
            </w:r>
            <w:bookmarkEnd w:id="3"/>
            <w:bookmarkEnd w:id="4"/>
          </w:p>
        </w:tc>
      </w:tr>
    </w:tbl>
    <w:p w14:paraId="4150D5AB" w14:textId="77777777" w:rsidR="00962F08" w:rsidRPr="00586CC0" w:rsidRDefault="00962F08" w:rsidP="00962F08">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5"/>
        <w:gridCol w:w="6256"/>
      </w:tblGrid>
      <w:tr w:rsidR="00962F08" w:rsidRPr="00586CC0" w14:paraId="0CA8BB3F" w14:textId="77777777" w:rsidTr="004D159E">
        <w:tc>
          <w:tcPr>
            <w:tcW w:w="2765" w:type="dxa"/>
          </w:tcPr>
          <w:p w14:paraId="5521DF9B"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Committee</w:t>
            </w:r>
          </w:p>
        </w:tc>
        <w:tc>
          <w:tcPr>
            <w:tcW w:w="6256" w:type="dxa"/>
          </w:tcPr>
          <w:p w14:paraId="0F8C1906" w14:textId="77777777" w:rsidR="00962F08" w:rsidRPr="00586CC0" w:rsidRDefault="00962F08" w:rsidP="004D159E">
            <w:pPr>
              <w:jc w:val="both"/>
              <w:rPr>
                <w:rFonts w:ascii="Arial" w:hAnsi="Arial" w:cs="Arial"/>
                <w:sz w:val="24"/>
                <w:szCs w:val="24"/>
                <w:lang w:val="en-AU"/>
              </w:rPr>
            </w:pPr>
            <w:r w:rsidRPr="00586CC0">
              <w:rPr>
                <w:rFonts w:ascii="Arial" w:hAnsi="Arial" w:cs="Arial"/>
                <w:sz w:val="24"/>
                <w:szCs w:val="24"/>
                <w:lang w:val="en-AU"/>
              </w:rPr>
              <w:t>13 August 2019</w:t>
            </w:r>
          </w:p>
        </w:tc>
      </w:tr>
      <w:tr w:rsidR="00962F08" w:rsidRPr="00586CC0" w14:paraId="5C7886F2" w14:textId="77777777" w:rsidTr="004D159E">
        <w:tc>
          <w:tcPr>
            <w:tcW w:w="2765" w:type="dxa"/>
          </w:tcPr>
          <w:p w14:paraId="40241EFA"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Council</w:t>
            </w:r>
          </w:p>
        </w:tc>
        <w:tc>
          <w:tcPr>
            <w:tcW w:w="6256" w:type="dxa"/>
          </w:tcPr>
          <w:p w14:paraId="44C53469" w14:textId="77777777" w:rsidR="00962F08" w:rsidRPr="00586CC0" w:rsidRDefault="00962F08" w:rsidP="004D159E">
            <w:pPr>
              <w:jc w:val="both"/>
              <w:rPr>
                <w:rFonts w:ascii="Arial" w:hAnsi="Arial" w:cs="Arial"/>
                <w:sz w:val="24"/>
                <w:szCs w:val="24"/>
                <w:lang w:val="en-AU"/>
              </w:rPr>
            </w:pPr>
            <w:r w:rsidRPr="00586CC0">
              <w:rPr>
                <w:rFonts w:ascii="Arial" w:hAnsi="Arial" w:cs="Arial"/>
                <w:sz w:val="24"/>
                <w:szCs w:val="24"/>
                <w:lang w:val="en-AU"/>
              </w:rPr>
              <w:t>27 August 2019</w:t>
            </w:r>
          </w:p>
        </w:tc>
      </w:tr>
      <w:tr w:rsidR="00962F08" w:rsidRPr="00586CC0" w14:paraId="591AB099" w14:textId="77777777" w:rsidTr="004D159E">
        <w:tc>
          <w:tcPr>
            <w:tcW w:w="2765" w:type="dxa"/>
          </w:tcPr>
          <w:p w14:paraId="16DDD3D9"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Applicant</w:t>
            </w:r>
          </w:p>
        </w:tc>
        <w:tc>
          <w:tcPr>
            <w:tcW w:w="6256" w:type="dxa"/>
          </w:tcPr>
          <w:p w14:paraId="5714EED1" w14:textId="77777777" w:rsidR="00962F08" w:rsidRPr="00586CC0" w:rsidRDefault="00962F08" w:rsidP="004D159E">
            <w:pPr>
              <w:jc w:val="both"/>
              <w:rPr>
                <w:rFonts w:ascii="Arial" w:hAnsi="Arial" w:cs="Arial"/>
                <w:sz w:val="24"/>
                <w:szCs w:val="24"/>
                <w:lang w:val="en-AU"/>
              </w:rPr>
            </w:pPr>
            <w:r w:rsidRPr="00D4696A">
              <w:rPr>
                <w:rFonts w:ascii="Arial" w:hAnsi="Arial" w:cs="Arial"/>
                <w:sz w:val="24"/>
                <w:szCs w:val="24"/>
                <w:lang w:val="en-AU"/>
              </w:rPr>
              <w:t>City of Nedlands</w:t>
            </w:r>
          </w:p>
        </w:tc>
      </w:tr>
      <w:tr w:rsidR="00962F08" w:rsidRPr="00586CC0" w14:paraId="73A58CA6" w14:textId="77777777" w:rsidTr="004D159E">
        <w:tc>
          <w:tcPr>
            <w:tcW w:w="2765" w:type="dxa"/>
          </w:tcPr>
          <w:p w14:paraId="6FF5D444"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 xml:space="preserve">Employee Disclosure under </w:t>
            </w:r>
            <w:r w:rsidRPr="00586CC0">
              <w:rPr>
                <w:rFonts w:ascii="Arial" w:hAnsi="Arial" w:cs="Arial"/>
                <w:b/>
                <w:i/>
                <w:sz w:val="24"/>
                <w:szCs w:val="24"/>
                <w:lang w:val="en-AU"/>
              </w:rPr>
              <w:t>section 5.70 Local Government Act 1995</w:t>
            </w:r>
          </w:p>
        </w:tc>
        <w:tc>
          <w:tcPr>
            <w:tcW w:w="6256" w:type="dxa"/>
          </w:tcPr>
          <w:p w14:paraId="44DD2A1E" w14:textId="77777777" w:rsidR="00962F08" w:rsidRPr="00586CC0" w:rsidRDefault="00962F08" w:rsidP="004D159E">
            <w:pPr>
              <w:pStyle w:val="Subsection"/>
              <w:tabs>
                <w:tab w:val="clear" w:pos="595"/>
                <w:tab w:val="clear" w:pos="879"/>
              </w:tabs>
              <w:spacing w:before="0"/>
              <w:ind w:left="0" w:firstLine="0"/>
              <w:rPr>
                <w:rFonts w:ascii="Arial" w:hAnsi="Arial" w:cs="Arial"/>
                <w:szCs w:val="24"/>
              </w:rPr>
            </w:pPr>
            <w:r w:rsidRPr="00586CC0">
              <w:rPr>
                <w:rFonts w:ascii="Arial" w:hAnsi="Arial" w:cs="Arial"/>
                <w:szCs w:val="24"/>
              </w:rPr>
              <w:t>Nil.</w:t>
            </w:r>
            <w:r>
              <w:rPr>
                <w:rFonts w:ascii="Arial" w:hAnsi="Arial" w:cs="Arial"/>
                <w:szCs w:val="24"/>
              </w:rPr>
              <w:t xml:space="preserve">  </w:t>
            </w:r>
          </w:p>
        </w:tc>
      </w:tr>
      <w:tr w:rsidR="00962F08" w:rsidRPr="00586CC0" w14:paraId="730EC2E9" w14:textId="77777777" w:rsidTr="004D159E">
        <w:tc>
          <w:tcPr>
            <w:tcW w:w="2765" w:type="dxa"/>
          </w:tcPr>
          <w:p w14:paraId="3111AEA6"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Director</w:t>
            </w:r>
          </w:p>
        </w:tc>
        <w:tc>
          <w:tcPr>
            <w:tcW w:w="6256" w:type="dxa"/>
          </w:tcPr>
          <w:p w14:paraId="0E65D0FA" w14:textId="77777777" w:rsidR="00962F08" w:rsidRPr="00586CC0" w:rsidRDefault="00962F08" w:rsidP="004D159E">
            <w:pPr>
              <w:jc w:val="both"/>
              <w:rPr>
                <w:rFonts w:ascii="Arial" w:hAnsi="Arial" w:cs="Arial"/>
                <w:sz w:val="24"/>
                <w:szCs w:val="24"/>
                <w:lang w:val="en-AU"/>
              </w:rPr>
            </w:pPr>
            <w:r w:rsidRPr="00586CC0">
              <w:rPr>
                <w:rFonts w:ascii="Arial" w:hAnsi="Arial" w:cs="Arial"/>
                <w:sz w:val="24"/>
                <w:szCs w:val="24"/>
                <w:lang w:val="en-AU"/>
              </w:rPr>
              <w:t>Lorraine Driscoll – Director Corporate and Strategy</w:t>
            </w:r>
          </w:p>
        </w:tc>
      </w:tr>
      <w:tr w:rsidR="00962F08" w:rsidRPr="00586CC0" w14:paraId="7946DCE7" w14:textId="77777777" w:rsidTr="004D159E">
        <w:tc>
          <w:tcPr>
            <w:tcW w:w="2765" w:type="dxa"/>
          </w:tcPr>
          <w:p w14:paraId="18585869" w14:textId="77777777" w:rsidR="00962F08" w:rsidRPr="00586CC0" w:rsidRDefault="00962F08" w:rsidP="004D159E">
            <w:pPr>
              <w:jc w:val="both"/>
              <w:rPr>
                <w:rFonts w:ascii="Arial" w:hAnsi="Arial" w:cs="Arial"/>
                <w:b/>
                <w:sz w:val="24"/>
                <w:szCs w:val="24"/>
                <w:lang w:val="en-AU"/>
              </w:rPr>
            </w:pPr>
            <w:r w:rsidRPr="00586CC0">
              <w:rPr>
                <w:rFonts w:ascii="Arial" w:hAnsi="Arial" w:cs="Arial"/>
                <w:b/>
                <w:sz w:val="24"/>
                <w:szCs w:val="24"/>
                <w:lang w:val="en-AU"/>
              </w:rPr>
              <w:t>Attachments</w:t>
            </w:r>
          </w:p>
        </w:tc>
        <w:tc>
          <w:tcPr>
            <w:tcW w:w="6256" w:type="dxa"/>
          </w:tcPr>
          <w:p w14:paraId="1044800D" w14:textId="0D6648C1" w:rsidR="00962F08" w:rsidRPr="009D5711" w:rsidRDefault="00424848" w:rsidP="00424848">
            <w:pPr>
              <w:numPr>
                <w:ilvl w:val="0"/>
                <w:numId w:val="31"/>
              </w:numPr>
              <w:ind w:left="426" w:hanging="426"/>
              <w:jc w:val="both"/>
              <w:rPr>
                <w:rFonts w:ascii="Arial" w:hAnsi="Arial" w:cs="Arial"/>
                <w:sz w:val="24"/>
                <w:szCs w:val="24"/>
                <w:lang w:val="en-US"/>
              </w:rPr>
            </w:pPr>
            <w:r>
              <w:rPr>
                <w:rFonts w:ascii="Arial" w:hAnsi="Arial" w:cs="Arial"/>
                <w:sz w:val="24"/>
                <w:szCs w:val="24"/>
                <w:lang w:val="en-US"/>
              </w:rPr>
              <w:t xml:space="preserve">CONFIDENTIAL </w:t>
            </w:r>
            <w:r w:rsidR="00962F08">
              <w:rPr>
                <w:rFonts w:ascii="Arial" w:hAnsi="Arial" w:cs="Arial"/>
                <w:sz w:val="24"/>
                <w:szCs w:val="24"/>
                <w:lang w:val="en-US"/>
              </w:rPr>
              <w:t xml:space="preserve">Heads of Agreement </w:t>
            </w:r>
          </w:p>
          <w:p w14:paraId="2EF12646" w14:textId="5B1C1C4A" w:rsidR="00962F08" w:rsidRDefault="00424848" w:rsidP="00962F08">
            <w:pPr>
              <w:numPr>
                <w:ilvl w:val="0"/>
                <w:numId w:val="31"/>
              </w:numPr>
              <w:ind w:left="426" w:hanging="426"/>
              <w:jc w:val="both"/>
              <w:rPr>
                <w:rFonts w:ascii="Arial" w:hAnsi="Arial" w:cs="Arial"/>
                <w:sz w:val="24"/>
                <w:szCs w:val="24"/>
                <w:lang w:val="en-US"/>
              </w:rPr>
            </w:pPr>
            <w:r>
              <w:rPr>
                <w:rFonts w:ascii="Arial" w:hAnsi="Arial" w:cs="Arial"/>
                <w:sz w:val="24"/>
                <w:szCs w:val="24"/>
                <w:lang w:val="en-US"/>
              </w:rPr>
              <w:t xml:space="preserve">CONFIDENTIAL </w:t>
            </w:r>
            <w:r w:rsidR="00962F08">
              <w:rPr>
                <w:rFonts w:ascii="Arial" w:hAnsi="Arial" w:cs="Arial"/>
                <w:sz w:val="24"/>
                <w:szCs w:val="24"/>
                <w:lang w:val="en-US"/>
              </w:rPr>
              <w:t>Financial Due Diligence Report</w:t>
            </w:r>
          </w:p>
          <w:p w14:paraId="74562411" w14:textId="77777777" w:rsidR="00962F08" w:rsidRDefault="00962F08" w:rsidP="00962F08">
            <w:pPr>
              <w:numPr>
                <w:ilvl w:val="0"/>
                <w:numId w:val="31"/>
              </w:numPr>
              <w:ind w:left="426" w:hanging="426"/>
              <w:jc w:val="both"/>
              <w:rPr>
                <w:rFonts w:ascii="Arial" w:hAnsi="Arial" w:cs="Arial"/>
                <w:sz w:val="24"/>
                <w:szCs w:val="24"/>
                <w:lang w:val="en-US"/>
              </w:rPr>
            </w:pPr>
            <w:r>
              <w:rPr>
                <w:rFonts w:ascii="Arial" w:hAnsi="Arial" w:cs="Arial"/>
                <w:sz w:val="24"/>
                <w:szCs w:val="24"/>
                <w:lang w:val="en-US"/>
              </w:rPr>
              <w:t xml:space="preserve">Tourism Attractions Case Management </w:t>
            </w:r>
          </w:p>
          <w:p w14:paraId="27B29BCF" w14:textId="0A79D4BA" w:rsidR="00962F08" w:rsidRDefault="00424848" w:rsidP="00962F08">
            <w:pPr>
              <w:numPr>
                <w:ilvl w:val="0"/>
                <w:numId w:val="31"/>
              </w:numPr>
              <w:ind w:left="426" w:hanging="426"/>
              <w:jc w:val="both"/>
              <w:rPr>
                <w:rFonts w:ascii="Arial" w:hAnsi="Arial" w:cs="Arial"/>
                <w:sz w:val="24"/>
                <w:szCs w:val="24"/>
                <w:lang w:val="en-US"/>
              </w:rPr>
            </w:pPr>
            <w:r>
              <w:rPr>
                <w:rFonts w:ascii="Arial" w:hAnsi="Arial" w:cs="Arial"/>
                <w:sz w:val="24"/>
                <w:szCs w:val="24"/>
                <w:lang w:val="en-US"/>
              </w:rPr>
              <w:t xml:space="preserve">CONFIDENTIAL </w:t>
            </w:r>
            <w:r w:rsidR="00962F08">
              <w:rPr>
                <w:rFonts w:ascii="Arial" w:hAnsi="Arial" w:cs="Arial"/>
                <w:sz w:val="24"/>
                <w:szCs w:val="24"/>
                <w:lang w:val="en-US"/>
              </w:rPr>
              <w:t xml:space="preserve">Advice – Commercial Tenancy Act </w:t>
            </w:r>
          </w:p>
          <w:p w14:paraId="0A1022F4" w14:textId="77777777" w:rsidR="00962F08" w:rsidRDefault="00962F08" w:rsidP="00962F08">
            <w:pPr>
              <w:numPr>
                <w:ilvl w:val="0"/>
                <w:numId w:val="31"/>
              </w:numPr>
              <w:ind w:left="426" w:hanging="426"/>
              <w:jc w:val="both"/>
              <w:rPr>
                <w:rFonts w:ascii="Arial" w:hAnsi="Arial" w:cs="Arial"/>
                <w:sz w:val="24"/>
                <w:szCs w:val="24"/>
                <w:lang w:val="en-US"/>
              </w:rPr>
            </w:pPr>
            <w:proofErr w:type="spellStart"/>
            <w:r>
              <w:rPr>
                <w:rFonts w:ascii="Arial" w:hAnsi="Arial" w:cs="Arial"/>
                <w:sz w:val="24"/>
                <w:szCs w:val="24"/>
                <w:lang w:val="en-US"/>
              </w:rPr>
              <w:t>Tawarri</w:t>
            </w:r>
            <w:proofErr w:type="spellEnd"/>
            <w:r>
              <w:rPr>
                <w:rFonts w:ascii="Arial" w:hAnsi="Arial" w:cs="Arial"/>
                <w:sz w:val="24"/>
                <w:szCs w:val="24"/>
                <w:lang w:val="en-US"/>
              </w:rPr>
              <w:t xml:space="preserve"> Development - </w:t>
            </w:r>
            <w:proofErr w:type="spellStart"/>
            <w:r>
              <w:rPr>
                <w:rFonts w:ascii="Arial" w:hAnsi="Arial" w:cs="Arial"/>
                <w:sz w:val="24"/>
                <w:szCs w:val="24"/>
                <w:lang w:val="en-US"/>
              </w:rPr>
              <w:t>IndicativeTimeline</w:t>
            </w:r>
            <w:proofErr w:type="spellEnd"/>
            <w:r>
              <w:rPr>
                <w:rFonts w:ascii="Arial" w:hAnsi="Arial" w:cs="Arial"/>
                <w:sz w:val="24"/>
                <w:szCs w:val="24"/>
                <w:lang w:val="en-US"/>
              </w:rPr>
              <w:t xml:space="preserve"> </w:t>
            </w:r>
          </w:p>
          <w:p w14:paraId="28199A72" w14:textId="5AFCE35F" w:rsidR="00962F08" w:rsidRPr="004D73CA" w:rsidRDefault="00424848" w:rsidP="00962F08">
            <w:pPr>
              <w:numPr>
                <w:ilvl w:val="0"/>
                <w:numId w:val="31"/>
              </w:numPr>
              <w:ind w:left="426" w:hanging="426"/>
              <w:jc w:val="both"/>
              <w:rPr>
                <w:rFonts w:ascii="Arial" w:hAnsi="Arial" w:cs="Arial"/>
                <w:sz w:val="24"/>
                <w:szCs w:val="24"/>
                <w:lang w:val="en-US"/>
              </w:rPr>
            </w:pPr>
            <w:r>
              <w:rPr>
                <w:rFonts w:ascii="Arial" w:hAnsi="Arial" w:cs="Arial"/>
                <w:sz w:val="24"/>
                <w:szCs w:val="24"/>
                <w:lang w:val="en-US"/>
              </w:rPr>
              <w:t xml:space="preserve">CONFIDENTIAL </w:t>
            </w:r>
            <w:r w:rsidR="00962F08">
              <w:rPr>
                <w:rFonts w:ascii="Arial" w:hAnsi="Arial" w:cs="Arial"/>
                <w:sz w:val="24"/>
                <w:szCs w:val="24"/>
                <w:lang w:val="en-US"/>
              </w:rPr>
              <w:t xml:space="preserve">John Adcock Adroit Credentials </w:t>
            </w:r>
          </w:p>
        </w:tc>
      </w:tr>
    </w:tbl>
    <w:p w14:paraId="2E9593CA" w14:textId="77777777" w:rsidR="00962F08" w:rsidRPr="00586CC0" w:rsidRDefault="00962F08" w:rsidP="00962F08">
      <w:pPr>
        <w:spacing w:after="0" w:line="240" w:lineRule="auto"/>
        <w:jc w:val="both"/>
        <w:rPr>
          <w:rFonts w:ascii="Arial" w:hAnsi="Arial" w:cs="Arial"/>
          <w:b/>
          <w:sz w:val="24"/>
          <w:szCs w:val="24"/>
          <w:lang w:val="en-US"/>
        </w:rPr>
      </w:pPr>
    </w:p>
    <w:p w14:paraId="3B536840" w14:textId="77777777" w:rsidR="00962F08" w:rsidRDefault="00962F08" w:rsidP="00962F08">
      <w:pPr>
        <w:spacing w:after="0" w:line="240" w:lineRule="auto"/>
        <w:jc w:val="both"/>
        <w:rPr>
          <w:rFonts w:ascii="Arial" w:hAnsi="Arial" w:cs="Arial"/>
          <w:b/>
          <w:sz w:val="28"/>
          <w:szCs w:val="28"/>
          <w:lang w:val="en-US"/>
        </w:rPr>
      </w:pPr>
      <w:r w:rsidRPr="00E81484">
        <w:rPr>
          <w:rFonts w:ascii="Arial" w:hAnsi="Arial" w:cs="Arial"/>
          <w:b/>
          <w:sz w:val="28"/>
          <w:szCs w:val="28"/>
          <w:lang w:val="en-US"/>
        </w:rPr>
        <w:t>Executive Summary</w:t>
      </w:r>
    </w:p>
    <w:p w14:paraId="09D33E1D" w14:textId="77777777" w:rsidR="00962F08" w:rsidRDefault="00962F08" w:rsidP="00962F08">
      <w:pPr>
        <w:spacing w:after="0" w:line="240" w:lineRule="auto"/>
        <w:jc w:val="both"/>
        <w:rPr>
          <w:rFonts w:ascii="Arial" w:hAnsi="Arial" w:cs="Arial"/>
          <w:b/>
          <w:sz w:val="24"/>
          <w:szCs w:val="24"/>
          <w:lang w:val="en-US"/>
        </w:rPr>
      </w:pPr>
    </w:p>
    <w:p w14:paraId="0802905E" w14:textId="77777777" w:rsidR="00962F08" w:rsidRPr="00026D59" w:rsidRDefault="00962F08" w:rsidP="00962F08">
      <w:pPr>
        <w:spacing w:after="0" w:line="240" w:lineRule="auto"/>
        <w:jc w:val="both"/>
        <w:rPr>
          <w:rFonts w:ascii="Arial" w:hAnsi="Arial" w:cs="Arial"/>
          <w:bCs/>
          <w:sz w:val="24"/>
          <w:szCs w:val="24"/>
          <w:lang w:val="en-US"/>
        </w:rPr>
      </w:pPr>
      <w:r>
        <w:rPr>
          <w:rFonts w:ascii="Arial" w:hAnsi="Arial" w:cs="Arial"/>
          <w:bCs/>
          <w:sz w:val="24"/>
          <w:szCs w:val="24"/>
          <w:lang w:val="en-US"/>
        </w:rPr>
        <w:t xml:space="preserve">This report updates Council on the progress of securing the future of the Tawarri Site and presents a Heads of Agreement for Council approval to form the basis of the future </w:t>
      </w:r>
      <w:proofErr w:type="spellStart"/>
      <w:r>
        <w:rPr>
          <w:rFonts w:ascii="Arial" w:hAnsi="Arial" w:cs="Arial"/>
          <w:bCs/>
          <w:sz w:val="24"/>
          <w:szCs w:val="24"/>
          <w:lang w:val="en-US"/>
        </w:rPr>
        <w:t>SubLease</w:t>
      </w:r>
      <w:proofErr w:type="spellEnd"/>
      <w:r>
        <w:rPr>
          <w:rFonts w:ascii="Arial" w:hAnsi="Arial" w:cs="Arial"/>
          <w:bCs/>
          <w:sz w:val="24"/>
          <w:szCs w:val="24"/>
          <w:lang w:val="en-US"/>
        </w:rPr>
        <w:t>.</w:t>
      </w:r>
    </w:p>
    <w:p w14:paraId="6569119B" w14:textId="77777777" w:rsidR="00962F08" w:rsidRPr="00F7375E" w:rsidRDefault="00962F08" w:rsidP="00962F08">
      <w:pPr>
        <w:spacing w:after="0" w:line="240" w:lineRule="auto"/>
        <w:jc w:val="both"/>
        <w:rPr>
          <w:rFonts w:ascii="Arial" w:hAnsi="Arial" w:cs="Arial"/>
          <w:b/>
          <w:sz w:val="24"/>
          <w:szCs w:val="24"/>
          <w:lang w:val="en-US"/>
        </w:rPr>
      </w:pPr>
    </w:p>
    <w:p w14:paraId="0AD54EA3" w14:textId="77777777" w:rsidR="00962F08" w:rsidRPr="00E81484" w:rsidRDefault="00962F08" w:rsidP="00962F08">
      <w:pPr>
        <w:spacing w:after="0" w:line="240" w:lineRule="auto"/>
        <w:jc w:val="both"/>
        <w:rPr>
          <w:rFonts w:ascii="Arial" w:hAnsi="Arial" w:cs="Arial"/>
          <w:b/>
          <w:sz w:val="28"/>
          <w:szCs w:val="28"/>
          <w:lang w:val="en-US"/>
        </w:rPr>
      </w:pPr>
      <w:r>
        <w:rPr>
          <w:rFonts w:ascii="Arial" w:hAnsi="Arial" w:cs="Arial"/>
          <w:b/>
          <w:sz w:val="28"/>
          <w:szCs w:val="28"/>
          <w:lang w:val="en-US"/>
        </w:rPr>
        <w:t>Recommendation to Committee</w:t>
      </w:r>
    </w:p>
    <w:p w14:paraId="34368933" w14:textId="77777777" w:rsidR="00962F08" w:rsidRPr="00586CC0" w:rsidRDefault="00962F08" w:rsidP="00962F08">
      <w:pPr>
        <w:spacing w:after="0" w:line="240" w:lineRule="auto"/>
        <w:jc w:val="both"/>
        <w:rPr>
          <w:rFonts w:ascii="Arial" w:hAnsi="Arial" w:cs="Arial"/>
          <w:b/>
          <w:sz w:val="24"/>
          <w:szCs w:val="24"/>
          <w:lang w:val="en-US"/>
        </w:rPr>
      </w:pPr>
    </w:p>
    <w:p w14:paraId="2B3A3608" w14:textId="77777777" w:rsidR="00962F08" w:rsidRPr="00E81484" w:rsidRDefault="00962F08" w:rsidP="00962F08">
      <w:pPr>
        <w:spacing w:line="240" w:lineRule="auto"/>
        <w:jc w:val="both"/>
        <w:rPr>
          <w:rFonts w:ascii="Arial" w:hAnsi="Arial" w:cs="Arial"/>
          <w:b/>
          <w:bCs/>
          <w:sz w:val="24"/>
          <w:szCs w:val="24"/>
        </w:rPr>
      </w:pPr>
      <w:r w:rsidRPr="00E81484">
        <w:rPr>
          <w:rFonts w:ascii="Arial" w:hAnsi="Arial" w:cs="Arial"/>
          <w:b/>
          <w:bCs/>
          <w:sz w:val="24"/>
          <w:szCs w:val="24"/>
        </w:rPr>
        <w:t>Council</w:t>
      </w:r>
    </w:p>
    <w:p w14:paraId="733795D6" w14:textId="77777777" w:rsidR="00962F08" w:rsidRDefault="00962F08" w:rsidP="00962F08">
      <w:pPr>
        <w:pStyle w:val="ListParagraph"/>
        <w:numPr>
          <w:ilvl w:val="0"/>
          <w:numId w:val="26"/>
        </w:numPr>
        <w:spacing w:after="160" w:line="240" w:lineRule="auto"/>
        <w:ind w:left="851" w:hanging="491"/>
        <w:jc w:val="both"/>
        <w:rPr>
          <w:rFonts w:ascii="Arial" w:hAnsi="Arial" w:cs="Arial"/>
          <w:b/>
          <w:bCs/>
          <w:sz w:val="24"/>
          <w:szCs w:val="24"/>
        </w:rPr>
      </w:pPr>
      <w:r w:rsidRPr="00E81484">
        <w:rPr>
          <w:rFonts w:ascii="Arial" w:hAnsi="Arial" w:cs="Arial"/>
          <w:b/>
          <w:bCs/>
          <w:sz w:val="24"/>
          <w:szCs w:val="24"/>
        </w:rPr>
        <w:t>approves the conditions contained within the Heads of Agreement</w:t>
      </w:r>
      <w:r>
        <w:rPr>
          <w:rFonts w:ascii="Arial" w:hAnsi="Arial" w:cs="Arial"/>
          <w:b/>
          <w:bCs/>
          <w:sz w:val="24"/>
          <w:szCs w:val="24"/>
        </w:rPr>
        <w:t>;</w:t>
      </w:r>
    </w:p>
    <w:p w14:paraId="367C3724" w14:textId="77777777" w:rsidR="00962F08" w:rsidRPr="00E81484" w:rsidRDefault="00962F08" w:rsidP="00962F08">
      <w:pPr>
        <w:pStyle w:val="ListParagraph"/>
        <w:spacing w:line="240" w:lineRule="auto"/>
        <w:ind w:left="851"/>
        <w:jc w:val="both"/>
        <w:rPr>
          <w:rFonts w:ascii="Arial" w:hAnsi="Arial" w:cs="Arial"/>
          <w:b/>
          <w:bCs/>
          <w:sz w:val="24"/>
          <w:szCs w:val="24"/>
        </w:rPr>
      </w:pPr>
    </w:p>
    <w:p w14:paraId="565C386B" w14:textId="77777777" w:rsidR="00962F08" w:rsidRDefault="00962F08" w:rsidP="00962F08">
      <w:pPr>
        <w:pStyle w:val="ListParagraph"/>
        <w:numPr>
          <w:ilvl w:val="0"/>
          <w:numId w:val="26"/>
        </w:numPr>
        <w:spacing w:after="160" w:line="240" w:lineRule="auto"/>
        <w:ind w:left="851" w:hanging="491"/>
        <w:jc w:val="both"/>
        <w:rPr>
          <w:rFonts w:ascii="Arial" w:hAnsi="Arial" w:cs="Arial"/>
          <w:b/>
          <w:bCs/>
          <w:sz w:val="24"/>
          <w:szCs w:val="24"/>
        </w:rPr>
      </w:pPr>
      <w:r>
        <w:rPr>
          <w:rFonts w:ascii="Arial" w:hAnsi="Arial" w:cs="Arial"/>
          <w:b/>
          <w:bCs/>
          <w:sz w:val="24"/>
          <w:szCs w:val="24"/>
        </w:rPr>
        <w:t>instructs the CEO to engage Moore Stephens to update their advice where relevant re the structure of the entity (previous advice is now dated given the elapse of time since the commencement of negotiations)</w:t>
      </w:r>
    </w:p>
    <w:p w14:paraId="2AED40A2" w14:textId="77777777" w:rsidR="00962F08" w:rsidRPr="00356DD8" w:rsidRDefault="00962F08" w:rsidP="00962F08">
      <w:pPr>
        <w:pStyle w:val="ListParagraph"/>
        <w:rPr>
          <w:rFonts w:ascii="Arial" w:hAnsi="Arial" w:cs="Arial"/>
          <w:b/>
          <w:bCs/>
          <w:sz w:val="24"/>
          <w:szCs w:val="24"/>
        </w:rPr>
      </w:pPr>
    </w:p>
    <w:p w14:paraId="6AD53F92" w14:textId="77777777" w:rsidR="00962F08" w:rsidRDefault="00962F08" w:rsidP="00962F08">
      <w:pPr>
        <w:pStyle w:val="ListParagraph"/>
        <w:numPr>
          <w:ilvl w:val="0"/>
          <w:numId w:val="26"/>
        </w:numPr>
        <w:spacing w:after="160" w:line="240" w:lineRule="auto"/>
        <w:ind w:left="851" w:hanging="491"/>
        <w:jc w:val="both"/>
        <w:rPr>
          <w:rFonts w:ascii="Arial" w:hAnsi="Arial" w:cs="Arial"/>
          <w:b/>
          <w:bCs/>
          <w:sz w:val="24"/>
          <w:szCs w:val="24"/>
        </w:rPr>
      </w:pPr>
      <w:r w:rsidRPr="00385A72">
        <w:rPr>
          <w:rFonts w:ascii="Arial" w:hAnsi="Arial" w:cs="Arial"/>
          <w:b/>
          <w:bCs/>
          <w:sz w:val="24"/>
          <w:szCs w:val="24"/>
        </w:rPr>
        <w:t xml:space="preserve">instructs the CEO to engage Moore Stephens to update the Financial Due Diligence findings </w:t>
      </w:r>
      <w:r>
        <w:rPr>
          <w:rFonts w:ascii="Arial" w:hAnsi="Arial" w:cs="Arial"/>
          <w:b/>
          <w:bCs/>
          <w:sz w:val="24"/>
          <w:szCs w:val="24"/>
        </w:rPr>
        <w:t>(previous advice is now dated given the elapse of time since the commencement of negotiations)</w:t>
      </w:r>
    </w:p>
    <w:p w14:paraId="11F4B123" w14:textId="77777777" w:rsidR="00962F08" w:rsidRPr="00385A72" w:rsidRDefault="00962F08" w:rsidP="00962F08">
      <w:pPr>
        <w:pStyle w:val="ListParagraph"/>
        <w:spacing w:line="240" w:lineRule="auto"/>
        <w:ind w:left="851"/>
        <w:jc w:val="both"/>
        <w:rPr>
          <w:rFonts w:ascii="Arial" w:hAnsi="Arial" w:cs="Arial"/>
          <w:b/>
          <w:bCs/>
          <w:sz w:val="24"/>
          <w:szCs w:val="24"/>
        </w:rPr>
      </w:pPr>
    </w:p>
    <w:p w14:paraId="733C512C" w14:textId="77777777" w:rsidR="00962F08" w:rsidRDefault="00962F08" w:rsidP="00962F08">
      <w:pPr>
        <w:pStyle w:val="ListParagraph"/>
        <w:numPr>
          <w:ilvl w:val="0"/>
          <w:numId w:val="26"/>
        </w:numPr>
        <w:spacing w:after="160" w:line="240" w:lineRule="auto"/>
        <w:ind w:left="851" w:hanging="491"/>
        <w:jc w:val="both"/>
        <w:rPr>
          <w:rFonts w:ascii="Arial" w:hAnsi="Arial" w:cs="Arial"/>
          <w:b/>
          <w:bCs/>
          <w:sz w:val="24"/>
          <w:szCs w:val="24"/>
        </w:rPr>
      </w:pPr>
      <w:r w:rsidRPr="00E81484">
        <w:rPr>
          <w:rFonts w:ascii="Arial" w:hAnsi="Arial" w:cs="Arial"/>
          <w:b/>
          <w:bCs/>
          <w:sz w:val="24"/>
          <w:szCs w:val="24"/>
        </w:rPr>
        <w:t xml:space="preserve">authorises the CEO to instruct </w:t>
      </w:r>
      <w:proofErr w:type="spellStart"/>
      <w:r w:rsidRPr="00E81484">
        <w:rPr>
          <w:rFonts w:ascii="Arial" w:hAnsi="Arial" w:cs="Arial"/>
          <w:b/>
          <w:bCs/>
          <w:sz w:val="24"/>
          <w:szCs w:val="24"/>
        </w:rPr>
        <w:t>McLeods</w:t>
      </w:r>
      <w:proofErr w:type="spellEnd"/>
      <w:r w:rsidRPr="00E81484">
        <w:rPr>
          <w:rFonts w:ascii="Arial" w:hAnsi="Arial" w:cs="Arial"/>
          <w:b/>
          <w:bCs/>
          <w:sz w:val="24"/>
          <w:szCs w:val="24"/>
        </w:rPr>
        <w:t xml:space="preserve"> Solicitors to commence drafting of the Agreement for </w:t>
      </w:r>
      <w:proofErr w:type="spellStart"/>
      <w:r>
        <w:rPr>
          <w:rFonts w:ascii="Arial" w:hAnsi="Arial" w:cs="Arial"/>
          <w:b/>
          <w:bCs/>
          <w:sz w:val="24"/>
          <w:szCs w:val="24"/>
        </w:rPr>
        <w:t>Sub</w:t>
      </w:r>
      <w:r w:rsidRPr="00E81484">
        <w:rPr>
          <w:rFonts w:ascii="Arial" w:hAnsi="Arial" w:cs="Arial"/>
          <w:b/>
          <w:bCs/>
          <w:sz w:val="24"/>
          <w:szCs w:val="24"/>
        </w:rPr>
        <w:t>Lease</w:t>
      </w:r>
      <w:proofErr w:type="spellEnd"/>
      <w:r w:rsidRPr="00E81484">
        <w:rPr>
          <w:rFonts w:ascii="Arial" w:hAnsi="Arial" w:cs="Arial"/>
          <w:b/>
          <w:bCs/>
          <w:sz w:val="24"/>
          <w:szCs w:val="24"/>
        </w:rPr>
        <w:t xml:space="preserve"> and </w:t>
      </w:r>
      <w:proofErr w:type="spellStart"/>
      <w:r>
        <w:rPr>
          <w:rFonts w:ascii="Arial" w:hAnsi="Arial" w:cs="Arial"/>
          <w:b/>
          <w:bCs/>
          <w:sz w:val="24"/>
          <w:szCs w:val="24"/>
        </w:rPr>
        <w:t>Sub</w:t>
      </w:r>
      <w:r w:rsidRPr="00E81484">
        <w:rPr>
          <w:rFonts w:ascii="Arial" w:hAnsi="Arial" w:cs="Arial"/>
          <w:b/>
          <w:bCs/>
          <w:sz w:val="24"/>
          <w:szCs w:val="24"/>
        </w:rPr>
        <w:t>Lease</w:t>
      </w:r>
      <w:proofErr w:type="spellEnd"/>
      <w:r w:rsidRPr="00E81484">
        <w:rPr>
          <w:rFonts w:ascii="Arial" w:hAnsi="Arial" w:cs="Arial"/>
          <w:b/>
          <w:bCs/>
          <w:sz w:val="24"/>
          <w:szCs w:val="24"/>
        </w:rPr>
        <w:t xml:space="preserve"> documents for the Tawarri Hot Springs Development</w:t>
      </w:r>
      <w:r>
        <w:rPr>
          <w:rFonts w:ascii="Arial" w:hAnsi="Arial" w:cs="Arial"/>
          <w:b/>
          <w:bCs/>
          <w:sz w:val="24"/>
          <w:szCs w:val="24"/>
        </w:rPr>
        <w:t xml:space="preserve">; </w:t>
      </w:r>
    </w:p>
    <w:p w14:paraId="6C02ED6F" w14:textId="77777777" w:rsidR="00962F08" w:rsidRPr="004E14DF" w:rsidRDefault="00962F08" w:rsidP="00962F08">
      <w:pPr>
        <w:pStyle w:val="ListParagraph"/>
        <w:rPr>
          <w:rFonts w:ascii="Arial" w:hAnsi="Arial" w:cs="Arial"/>
          <w:b/>
          <w:bCs/>
          <w:sz w:val="24"/>
          <w:szCs w:val="24"/>
        </w:rPr>
      </w:pPr>
    </w:p>
    <w:p w14:paraId="475B9D41" w14:textId="77777777" w:rsidR="00962F08" w:rsidRPr="007209C5" w:rsidRDefault="00962F08" w:rsidP="00962F08">
      <w:pPr>
        <w:pStyle w:val="ListParagraph"/>
        <w:numPr>
          <w:ilvl w:val="0"/>
          <w:numId w:val="26"/>
        </w:numPr>
        <w:spacing w:after="160" w:line="240" w:lineRule="auto"/>
        <w:ind w:left="851" w:hanging="491"/>
        <w:jc w:val="both"/>
        <w:rPr>
          <w:rFonts w:ascii="Arial" w:hAnsi="Arial" w:cs="Arial"/>
          <w:b/>
          <w:bCs/>
          <w:sz w:val="24"/>
          <w:szCs w:val="24"/>
        </w:rPr>
      </w:pPr>
      <w:r>
        <w:rPr>
          <w:rFonts w:ascii="Arial" w:hAnsi="Arial" w:cs="Arial"/>
          <w:b/>
          <w:bCs/>
          <w:sz w:val="24"/>
          <w:szCs w:val="24"/>
        </w:rPr>
        <w:t>authorises the CEO to provide concept design information to Councils endorsed selection panel once available; and</w:t>
      </w:r>
    </w:p>
    <w:p w14:paraId="20ACB00A" w14:textId="77777777" w:rsidR="00962F08" w:rsidRDefault="00962F08" w:rsidP="00962F08">
      <w:pPr>
        <w:pStyle w:val="ListParagraph"/>
        <w:spacing w:line="240" w:lineRule="auto"/>
        <w:ind w:left="851"/>
        <w:jc w:val="both"/>
        <w:rPr>
          <w:rFonts w:ascii="Arial" w:hAnsi="Arial" w:cs="Arial"/>
          <w:b/>
          <w:bCs/>
          <w:sz w:val="24"/>
          <w:szCs w:val="24"/>
        </w:rPr>
      </w:pPr>
    </w:p>
    <w:p w14:paraId="1BEA38EA" w14:textId="77777777" w:rsidR="00962F08" w:rsidRDefault="00962F08" w:rsidP="00962F08">
      <w:pPr>
        <w:pStyle w:val="ListParagraph"/>
        <w:numPr>
          <w:ilvl w:val="0"/>
          <w:numId w:val="26"/>
        </w:numPr>
        <w:spacing w:after="0" w:line="240" w:lineRule="auto"/>
        <w:ind w:left="851" w:hanging="491"/>
        <w:jc w:val="both"/>
        <w:rPr>
          <w:rFonts w:ascii="Arial" w:hAnsi="Arial" w:cs="Arial"/>
          <w:b/>
          <w:bCs/>
          <w:sz w:val="24"/>
          <w:szCs w:val="24"/>
        </w:rPr>
      </w:pPr>
      <w:r>
        <w:rPr>
          <w:rFonts w:ascii="Arial" w:hAnsi="Arial" w:cs="Arial"/>
          <w:b/>
          <w:bCs/>
          <w:sz w:val="24"/>
          <w:szCs w:val="24"/>
        </w:rPr>
        <w:t>i</w:t>
      </w:r>
      <w:r w:rsidRPr="00E81484">
        <w:rPr>
          <w:rFonts w:ascii="Arial" w:hAnsi="Arial" w:cs="Arial"/>
          <w:b/>
          <w:bCs/>
          <w:sz w:val="24"/>
          <w:szCs w:val="24"/>
        </w:rPr>
        <w:t xml:space="preserve">nstructs the CEO to bring back to Council the draft Agreement for </w:t>
      </w:r>
      <w:proofErr w:type="spellStart"/>
      <w:r>
        <w:rPr>
          <w:rFonts w:ascii="Arial" w:hAnsi="Arial" w:cs="Arial"/>
          <w:b/>
          <w:bCs/>
          <w:sz w:val="24"/>
          <w:szCs w:val="24"/>
        </w:rPr>
        <w:t>Sub</w:t>
      </w:r>
      <w:r w:rsidRPr="00E81484">
        <w:rPr>
          <w:rFonts w:ascii="Arial" w:hAnsi="Arial" w:cs="Arial"/>
          <w:b/>
          <w:bCs/>
          <w:sz w:val="24"/>
          <w:szCs w:val="24"/>
        </w:rPr>
        <w:t>Lease</w:t>
      </w:r>
      <w:proofErr w:type="spellEnd"/>
      <w:r>
        <w:rPr>
          <w:rFonts w:ascii="Arial" w:hAnsi="Arial" w:cs="Arial"/>
          <w:b/>
          <w:bCs/>
          <w:sz w:val="24"/>
          <w:szCs w:val="24"/>
        </w:rPr>
        <w:t xml:space="preserve">, the updated Financial Due Diligence Report, updated advice re Entity Structure and concept design </w:t>
      </w:r>
      <w:r w:rsidRPr="00E81484">
        <w:rPr>
          <w:rFonts w:ascii="Arial" w:hAnsi="Arial" w:cs="Arial"/>
          <w:b/>
          <w:bCs/>
          <w:sz w:val="24"/>
          <w:szCs w:val="24"/>
        </w:rPr>
        <w:t>for its approval</w:t>
      </w:r>
      <w:r>
        <w:rPr>
          <w:rFonts w:ascii="Arial" w:hAnsi="Arial" w:cs="Arial"/>
          <w:b/>
          <w:bCs/>
          <w:sz w:val="24"/>
          <w:szCs w:val="24"/>
        </w:rPr>
        <w:t>.</w:t>
      </w:r>
    </w:p>
    <w:p w14:paraId="03963537" w14:textId="77777777" w:rsidR="00962F08" w:rsidRDefault="00962F08" w:rsidP="00962F08">
      <w:pPr>
        <w:spacing w:after="0" w:line="240" w:lineRule="auto"/>
        <w:jc w:val="both"/>
        <w:rPr>
          <w:rFonts w:ascii="Arial" w:hAnsi="Arial" w:cs="Arial"/>
          <w:b/>
          <w:bCs/>
          <w:sz w:val="24"/>
          <w:szCs w:val="24"/>
        </w:rPr>
      </w:pPr>
    </w:p>
    <w:p w14:paraId="6E031965" w14:textId="77777777" w:rsidR="00E73266" w:rsidRDefault="00E73266" w:rsidP="00962F08">
      <w:pPr>
        <w:spacing w:after="0" w:line="240" w:lineRule="auto"/>
        <w:jc w:val="both"/>
        <w:rPr>
          <w:rFonts w:ascii="Arial" w:hAnsi="Arial" w:cs="Arial"/>
          <w:b/>
          <w:sz w:val="28"/>
          <w:szCs w:val="28"/>
          <w:lang w:val="en-US"/>
        </w:rPr>
      </w:pPr>
    </w:p>
    <w:p w14:paraId="3484280B" w14:textId="6B5D1BDF" w:rsidR="00962F08" w:rsidRDefault="00962F08" w:rsidP="00962F08">
      <w:pPr>
        <w:spacing w:after="0" w:line="240" w:lineRule="auto"/>
        <w:jc w:val="both"/>
        <w:rPr>
          <w:rFonts w:ascii="Arial" w:hAnsi="Arial" w:cs="Arial"/>
          <w:b/>
          <w:sz w:val="28"/>
          <w:szCs w:val="28"/>
          <w:lang w:val="en-US"/>
        </w:rPr>
      </w:pPr>
      <w:r>
        <w:rPr>
          <w:rFonts w:ascii="Arial" w:hAnsi="Arial" w:cs="Arial"/>
          <w:b/>
          <w:sz w:val="28"/>
          <w:szCs w:val="28"/>
          <w:lang w:val="en-US"/>
        </w:rPr>
        <w:lastRenderedPageBreak/>
        <w:t>Discussion/Overview</w:t>
      </w:r>
    </w:p>
    <w:p w14:paraId="4D00F627" w14:textId="77777777" w:rsidR="00962F08" w:rsidRPr="00586CC0" w:rsidRDefault="00962F08" w:rsidP="00962F08">
      <w:pPr>
        <w:spacing w:after="0" w:line="240" w:lineRule="auto"/>
        <w:jc w:val="both"/>
        <w:rPr>
          <w:rFonts w:ascii="Arial" w:hAnsi="Arial" w:cs="Arial"/>
          <w:sz w:val="24"/>
          <w:szCs w:val="24"/>
        </w:rPr>
      </w:pPr>
    </w:p>
    <w:p w14:paraId="38F00CF0" w14:textId="77777777" w:rsidR="00962F08" w:rsidRDefault="00962F08" w:rsidP="00962F08">
      <w:pPr>
        <w:spacing w:after="0" w:line="240" w:lineRule="auto"/>
        <w:jc w:val="both"/>
        <w:rPr>
          <w:rFonts w:ascii="Arial" w:hAnsi="Arial" w:cs="Arial"/>
          <w:sz w:val="24"/>
          <w:szCs w:val="24"/>
        </w:rPr>
      </w:pPr>
      <w:r>
        <w:rPr>
          <w:rFonts w:ascii="Arial" w:hAnsi="Arial" w:cs="Arial"/>
          <w:sz w:val="24"/>
          <w:szCs w:val="24"/>
        </w:rPr>
        <w:t>The City’s Strategic Community Plan identified a need to plan for the future of Tawarri pending the upcoming end of an existing lease.  A public Expression of Interest was released generating several submissions from parties interested in developing the site.  Three of these parties were invited to submit a full proposal as part of a Request for Proposal (RFP) process.  A Council appointed selection panel selected a Preferred Proponent from this process which was recommended to Council for endorsement at the Ordinary Meeting of Council on 26 June 2018.</w:t>
      </w:r>
    </w:p>
    <w:p w14:paraId="6C2D13B3" w14:textId="77777777" w:rsidR="00962F08" w:rsidRDefault="00962F08" w:rsidP="00962F08">
      <w:pPr>
        <w:spacing w:after="0" w:line="240" w:lineRule="auto"/>
        <w:jc w:val="both"/>
        <w:rPr>
          <w:rFonts w:ascii="Arial" w:hAnsi="Arial" w:cs="Arial"/>
          <w:sz w:val="24"/>
          <w:szCs w:val="24"/>
        </w:rPr>
      </w:pPr>
    </w:p>
    <w:p w14:paraId="1859A2EE" w14:textId="77777777" w:rsidR="00962F08" w:rsidRPr="00586CC0" w:rsidRDefault="00962F08" w:rsidP="00962F08">
      <w:pPr>
        <w:spacing w:line="240" w:lineRule="auto"/>
        <w:jc w:val="both"/>
        <w:rPr>
          <w:rFonts w:ascii="Arial" w:hAnsi="Arial" w:cs="Arial"/>
          <w:sz w:val="24"/>
          <w:szCs w:val="24"/>
        </w:rPr>
      </w:pPr>
      <w:r>
        <w:rPr>
          <w:rFonts w:ascii="Arial" w:hAnsi="Arial" w:cs="Arial"/>
          <w:sz w:val="24"/>
          <w:szCs w:val="24"/>
        </w:rPr>
        <w:t>At this meeting,</w:t>
      </w:r>
      <w:r w:rsidRPr="00586CC0">
        <w:rPr>
          <w:rFonts w:ascii="Arial" w:hAnsi="Arial" w:cs="Arial"/>
          <w:sz w:val="24"/>
          <w:szCs w:val="24"/>
        </w:rPr>
        <w:t xml:space="preserve"> Council instructed the CEO to commence negotiations and preparation of draft terms and conditions of a conditional lease/sublease with </w:t>
      </w:r>
      <w:r>
        <w:rPr>
          <w:rFonts w:ascii="Arial" w:hAnsi="Arial" w:cs="Arial"/>
          <w:sz w:val="24"/>
          <w:szCs w:val="24"/>
        </w:rPr>
        <w:t>the endorsed</w:t>
      </w:r>
      <w:r w:rsidRPr="00586CC0">
        <w:rPr>
          <w:rFonts w:ascii="Arial" w:hAnsi="Arial" w:cs="Arial"/>
          <w:sz w:val="24"/>
          <w:szCs w:val="24"/>
        </w:rPr>
        <w:t xml:space="preserve"> Preferred Proponen</w:t>
      </w:r>
      <w:r>
        <w:rPr>
          <w:rFonts w:ascii="Arial" w:hAnsi="Arial" w:cs="Arial"/>
          <w:sz w:val="24"/>
          <w:szCs w:val="24"/>
        </w:rPr>
        <w:t xml:space="preserve">t, being </w:t>
      </w:r>
      <w:r w:rsidRPr="00586CC0">
        <w:rPr>
          <w:rFonts w:ascii="Arial" w:hAnsi="Arial" w:cs="Arial"/>
          <w:sz w:val="24"/>
          <w:szCs w:val="24"/>
        </w:rPr>
        <w:t>Tawarri Hot Springs (THS).  This work was commenced by former CEO</w:t>
      </w:r>
      <w:r>
        <w:rPr>
          <w:rFonts w:ascii="Arial" w:hAnsi="Arial" w:cs="Arial"/>
          <w:sz w:val="24"/>
          <w:szCs w:val="24"/>
        </w:rPr>
        <w:t>,</w:t>
      </w:r>
      <w:r w:rsidRPr="00586CC0">
        <w:rPr>
          <w:rFonts w:ascii="Arial" w:hAnsi="Arial" w:cs="Arial"/>
          <w:sz w:val="24"/>
          <w:szCs w:val="24"/>
        </w:rPr>
        <w:t xml:space="preserve"> Greg Trevaskis</w:t>
      </w:r>
      <w:r>
        <w:rPr>
          <w:rFonts w:ascii="Arial" w:hAnsi="Arial" w:cs="Arial"/>
          <w:sz w:val="24"/>
          <w:szCs w:val="24"/>
        </w:rPr>
        <w:t>,</w:t>
      </w:r>
      <w:r w:rsidRPr="00586CC0">
        <w:rPr>
          <w:rFonts w:ascii="Arial" w:hAnsi="Arial" w:cs="Arial"/>
          <w:sz w:val="24"/>
          <w:szCs w:val="24"/>
        </w:rPr>
        <w:t xml:space="preserve"> and has been completed by the current CEO,</w:t>
      </w:r>
      <w:r>
        <w:rPr>
          <w:rFonts w:ascii="Arial" w:hAnsi="Arial" w:cs="Arial"/>
          <w:sz w:val="24"/>
          <w:szCs w:val="24"/>
        </w:rPr>
        <w:t xml:space="preserve"> Mark Goodlet.  T</w:t>
      </w:r>
      <w:r w:rsidRPr="00586CC0">
        <w:rPr>
          <w:rFonts w:ascii="Arial" w:hAnsi="Arial" w:cs="Arial"/>
          <w:sz w:val="24"/>
          <w:szCs w:val="24"/>
        </w:rPr>
        <w:t>he negotiations have been undertaken over the last thirteen months with Councillors receiving regular updates at briefings and through CEO update</w:t>
      </w:r>
      <w:r>
        <w:rPr>
          <w:rFonts w:ascii="Arial" w:hAnsi="Arial" w:cs="Arial"/>
          <w:sz w:val="24"/>
          <w:szCs w:val="24"/>
        </w:rPr>
        <w:t>s</w:t>
      </w:r>
      <w:r w:rsidRPr="00586CC0">
        <w:rPr>
          <w:rFonts w:ascii="Arial" w:hAnsi="Arial" w:cs="Arial"/>
          <w:sz w:val="24"/>
          <w:szCs w:val="24"/>
        </w:rPr>
        <w:t xml:space="preserve">.  Administration is now </w:t>
      </w:r>
      <w:proofErr w:type="gramStart"/>
      <w:r w:rsidRPr="00586CC0">
        <w:rPr>
          <w:rFonts w:ascii="Arial" w:hAnsi="Arial" w:cs="Arial"/>
          <w:sz w:val="24"/>
          <w:szCs w:val="24"/>
        </w:rPr>
        <w:t>in a position</w:t>
      </w:r>
      <w:proofErr w:type="gramEnd"/>
      <w:r w:rsidRPr="00586CC0">
        <w:rPr>
          <w:rFonts w:ascii="Arial" w:hAnsi="Arial" w:cs="Arial"/>
          <w:sz w:val="24"/>
          <w:szCs w:val="24"/>
        </w:rPr>
        <w:t xml:space="preserve"> to present </w:t>
      </w:r>
      <w:r>
        <w:rPr>
          <w:rFonts w:ascii="Arial" w:hAnsi="Arial" w:cs="Arial"/>
          <w:sz w:val="24"/>
          <w:szCs w:val="24"/>
        </w:rPr>
        <w:t>a</w:t>
      </w:r>
      <w:r w:rsidRPr="00586CC0">
        <w:rPr>
          <w:rFonts w:ascii="Arial" w:hAnsi="Arial" w:cs="Arial"/>
          <w:sz w:val="24"/>
          <w:szCs w:val="24"/>
        </w:rPr>
        <w:t xml:space="preserve"> proposed Heads of Agreement which has had input from;</w:t>
      </w:r>
    </w:p>
    <w:p w14:paraId="41CC4353" w14:textId="77777777" w:rsidR="00962F08" w:rsidRDefault="00962F08" w:rsidP="00962F08">
      <w:pPr>
        <w:pStyle w:val="ListParagraph"/>
        <w:numPr>
          <w:ilvl w:val="0"/>
          <w:numId w:val="25"/>
        </w:numPr>
        <w:spacing w:after="160" w:line="240" w:lineRule="auto"/>
        <w:jc w:val="both"/>
        <w:rPr>
          <w:rFonts w:ascii="Arial" w:hAnsi="Arial" w:cs="Arial"/>
          <w:sz w:val="24"/>
          <w:szCs w:val="24"/>
        </w:rPr>
      </w:pPr>
      <w:r w:rsidRPr="00586CC0">
        <w:rPr>
          <w:rFonts w:ascii="Arial" w:hAnsi="Arial" w:cs="Arial"/>
          <w:sz w:val="24"/>
          <w:szCs w:val="24"/>
        </w:rPr>
        <w:t>CEO</w:t>
      </w:r>
    </w:p>
    <w:p w14:paraId="543FB033"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Pr>
          <w:rFonts w:ascii="Arial" w:hAnsi="Arial" w:cs="Arial"/>
          <w:sz w:val="24"/>
          <w:szCs w:val="24"/>
        </w:rPr>
        <w:t>Director Corporate and Strategy</w:t>
      </w:r>
    </w:p>
    <w:p w14:paraId="2A5787B2"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Pr>
          <w:rFonts w:ascii="Arial" w:hAnsi="Arial" w:cs="Arial"/>
          <w:sz w:val="24"/>
          <w:szCs w:val="24"/>
        </w:rPr>
        <w:t>Councils endorsed</w:t>
      </w:r>
      <w:r w:rsidRPr="00586CC0">
        <w:rPr>
          <w:rFonts w:ascii="Arial" w:hAnsi="Arial" w:cs="Arial"/>
          <w:sz w:val="24"/>
          <w:szCs w:val="24"/>
        </w:rPr>
        <w:t xml:space="preserve"> Preferred Proponents; Tawarri Hot Springs</w:t>
      </w:r>
      <w:r>
        <w:rPr>
          <w:rFonts w:ascii="Arial" w:hAnsi="Arial" w:cs="Arial"/>
          <w:sz w:val="24"/>
          <w:szCs w:val="24"/>
        </w:rPr>
        <w:t xml:space="preserve"> Pty Ltd </w:t>
      </w:r>
    </w:p>
    <w:p w14:paraId="7AFD721B"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sidRPr="00586CC0">
        <w:rPr>
          <w:rFonts w:ascii="Arial" w:hAnsi="Arial" w:cs="Arial"/>
          <w:sz w:val="24"/>
          <w:szCs w:val="24"/>
        </w:rPr>
        <w:t xml:space="preserve">John Adcock </w:t>
      </w:r>
      <w:r>
        <w:rPr>
          <w:rFonts w:ascii="Arial" w:hAnsi="Arial" w:cs="Arial"/>
          <w:sz w:val="24"/>
          <w:szCs w:val="24"/>
        </w:rPr>
        <w:t>of Adroit Consulting Pty Ltd</w:t>
      </w:r>
    </w:p>
    <w:p w14:paraId="680F69B8"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sidRPr="00586CC0">
        <w:rPr>
          <w:rFonts w:ascii="Arial" w:hAnsi="Arial" w:cs="Arial"/>
          <w:sz w:val="24"/>
          <w:szCs w:val="24"/>
        </w:rPr>
        <w:t>Tourism Attraction Case Management Team – Cabinet Approved Sub Committee</w:t>
      </w:r>
    </w:p>
    <w:p w14:paraId="3257B80C"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sidRPr="00586CC0">
        <w:rPr>
          <w:rFonts w:ascii="Arial" w:hAnsi="Arial" w:cs="Arial"/>
          <w:sz w:val="24"/>
          <w:szCs w:val="24"/>
        </w:rPr>
        <w:t>Department of Lands</w:t>
      </w:r>
      <w:r>
        <w:rPr>
          <w:rFonts w:ascii="Arial" w:hAnsi="Arial" w:cs="Arial"/>
          <w:sz w:val="24"/>
          <w:szCs w:val="24"/>
        </w:rPr>
        <w:t>, Planning and Heritage (DLPH)</w:t>
      </w:r>
    </w:p>
    <w:p w14:paraId="6A3C7607"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proofErr w:type="spellStart"/>
      <w:r w:rsidRPr="00586CC0">
        <w:rPr>
          <w:rFonts w:ascii="Arial" w:hAnsi="Arial" w:cs="Arial"/>
          <w:sz w:val="24"/>
          <w:szCs w:val="24"/>
        </w:rPr>
        <w:t>McLeods</w:t>
      </w:r>
      <w:proofErr w:type="spellEnd"/>
      <w:r w:rsidRPr="00586CC0">
        <w:rPr>
          <w:rFonts w:ascii="Arial" w:hAnsi="Arial" w:cs="Arial"/>
          <w:sz w:val="24"/>
          <w:szCs w:val="24"/>
        </w:rPr>
        <w:t xml:space="preserve"> Solicitors</w:t>
      </w:r>
      <w:r>
        <w:rPr>
          <w:rFonts w:ascii="Arial" w:hAnsi="Arial" w:cs="Arial"/>
          <w:sz w:val="24"/>
          <w:szCs w:val="24"/>
        </w:rPr>
        <w:t xml:space="preserve"> for the City</w:t>
      </w:r>
    </w:p>
    <w:p w14:paraId="2C88EA4C" w14:textId="77777777" w:rsidR="00962F08" w:rsidRPr="00586CC0" w:rsidRDefault="00962F08" w:rsidP="00962F08">
      <w:pPr>
        <w:pStyle w:val="ListParagraph"/>
        <w:numPr>
          <w:ilvl w:val="0"/>
          <w:numId w:val="25"/>
        </w:numPr>
        <w:spacing w:after="160" w:line="240" w:lineRule="auto"/>
        <w:jc w:val="both"/>
        <w:rPr>
          <w:rFonts w:ascii="Arial" w:hAnsi="Arial" w:cs="Arial"/>
          <w:sz w:val="24"/>
          <w:szCs w:val="24"/>
        </w:rPr>
      </w:pPr>
      <w:r w:rsidRPr="00586CC0">
        <w:rPr>
          <w:rFonts w:ascii="Arial" w:hAnsi="Arial" w:cs="Arial"/>
          <w:sz w:val="24"/>
          <w:szCs w:val="24"/>
        </w:rPr>
        <w:t>Moore Stephens, Chartered Accountants</w:t>
      </w:r>
    </w:p>
    <w:p w14:paraId="1B9133D6" w14:textId="4F8A2352" w:rsidR="00962F08" w:rsidRPr="00586CC0" w:rsidRDefault="00962F08" w:rsidP="00962F08">
      <w:pPr>
        <w:pStyle w:val="ListParagraph"/>
        <w:numPr>
          <w:ilvl w:val="0"/>
          <w:numId w:val="25"/>
        </w:numPr>
        <w:spacing w:after="0" w:line="240" w:lineRule="auto"/>
        <w:jc w:val="both"/>
        <w:rPr>
          <w:rFonts w:ascii="Arial" w:hAnsi="Arial" w:cs="Arial"/>
          <w:sz w:val="24"/>
          <w:szCs w:val="24"/>
        </w:rPr>
      </w:pPr>
      <w:r w:rsidRPr="00586CC0">
        <w:rPr>
          <w:rFonts w:ascii="Arial" w:hAnsi="Arial" w:cs="Arial"/>
          <w:sz w:val="24"/>
          <w:szCs w:val="24"/>
        </w:rPr>
        <w:t xml:space="preserve">Guy </w:t>
      </w:r>
      <w:r w:rsidR="00BA23D4">
        <w:rPr>
          <w:rFonts w:ascii="Arial" w:hAnsi="Arial" w:cs="Arial"/>
          <w:sz w:val="24"/>
          <w:szCs w:val="24"/>
        </w:rPr>
        <w:t>Douglas</w:t>
      </w:r>
      <w:r w:rsidRPr="00586CC0">
        <w:rPr>
          <w:rFonts w:ascii="Arial" w:hAnsi="Arial" w:cs="Arial"/>
          <w:sz w:val="24"/>
          <w:szCs w:val="24"/>
        </w:rPr>
        <w:t>, Solicitor</w:t>
      </w:r>
      <w:r>
        <w:rPr>
          <w:rFonts w:ascii="Arial" w:hAnsi="Arial" w:cs="Arial"/>
          <w:sz w:val="24"/>
          <w:szCs w:val="24"/>
        </w:rPr>
        <w:t xml:space="preserve"> for the City</w:t>
      </w:r>
    </w:p>
    <w:p w14:paraId="2C7E647F" w14:textId="77777777" w:rsidR="00962F08" w:rsidRPr="00586CC0" w:rsidRDefault="00962F08" w:rsidP="00962F08">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City’s internal planning team</w:t>
      </w:r>
    </w:p>
    <w:p w14:paraId="07E2281E" w14:textId="77777777" w:rsidR="00962F08" w:rsidRDefault="00962F08" w:rsidP="00962F08">
      <w:pPr>
        <w:spacing w:after="0" w:line="240" w:lineRule="auto"/>
        <w:jc w:val="both"/>
        <w:rPr>
          <w:rFonts w:ascii="Arial" w:hAnsi="Arial" w:cs="Arial"/>
          <w:sz w:val="24"/>
          <w:szCs w:val="24"/>
        </w:rPr>
      </w:pPr>
    </w:p>
    <w:p w14:paraId="0A29C16C" w14:textId="77777777" w:rsidR="00962F08" w:rsidRDefault="00962F08" w:rsidP="00962F08">
      <w:pPr>
        <w:spacing w:after="0" w:line="240" w:lineRule="auto"/>
        <w:jc w:val="both"/>
        <w:rPr>
          <w:rFonts w:ascii="Arial" w:hAnsi="Arial" w:cs="Arial"/>
          <w:b/>
          <w:bCs/>
          <w:sz w:val="24"/>
          <w:szCs w:val="24"/>
        </w:rPr>
      </w:pPr>
      <w:r>
        <w:rPr>
          <w:rFonts w:ascii="Arial" w:hAnsi="Arial" w:cs="Arial"/>
          <w:b/>
          <w:bCs/>
          <w:sz w:val="24"/>
          <w:szCs w:val="24"/>
        </w:rPr>
        <w:t>The Process and Form of Key Documents</w:t>
      </w:r>
    </w:p>
    <w:p w14:paraId="7EEDFA63" w14:textId="77777777" w:rsidR="00962F08" w:rsidRDefault="00962F08" w:rsidP="00962F08">
      <w:pPr>
        <w:spacing w:after="0" w:line="240" w:lineRule="auto"/>
        <w:jc w:val="both"/>
        <w:rPr>
          <w:rFonts w:ascii="Arial" w:hAnsi="Arial" w:cs="Arial"/>
          <w:b/>
          <w:bCs/>
          <w:sz w:val="24"/>
          <w:szCs w:val="24"/>
        </w:rPr>
      </w:pPr>
    </w:p>
    <w:p w14:paraId="0AABA3FA" w14:textId="77777777" w:rsidR="00962F08" w:rsidRPr="00586CC0" w:rsidRDefault="00962F08" w:rsidP="00962F08">
      <w:pPr>
        <w:pStyle w:val="NormalWeb"/>
        <w:shd w:val="clear" w:color="auto" w:fill="FFFFFF"/>
        <w:jc w:val="both"/>
        <w:rPr>
          <w:rFonts w:ascii="Arial" w:hAnsi="Arial" w:cs="Arial"/>
          <w:lang w:val="en-US"/>
        </w:rPr>
      </w:pPr>
      <w:r w:rsidRPr="00FB0BC4">
        <w:rPr>
          <w:rFonts w:ascii="Arial" w:hAnsi="Arial" w:cs="Arial"/>
          <w:b/>
          <w:bCs/>
        </w:rPr>
        <w:t>Heads of Agreement</w:t>
      </w:r>
      <w:r>
        <w:rPr>
          <w:rFonts w:ascii="Arial" w:hAnsi="Arial" w:cs="Arial"/>
        </w:rPr>
        <w:t xml:space="preserve"> – </w:t>
      </w:r>
      <w:r w:rsidRPr="00850CD2">
        <w:rPr>
          <w:rFonts w:ascii="Arial" w:hAnsi="Arial" w:cs="Arial"/>
          <w:lang w:val="en-US"/>
        </w:rPr>
        <w:t>A Heads of Agreement (HOA)</w:t>
      </w:r>
      <w:r>
        <w:rPr>
          <w:rFonts w:ascii="Arial" w:hAnsi="Arial" w:cs="Arial"/>
          <w:lang w:val="en-US"/>
        </w:rPr>
        <w:t xml:space="preserve"> is </w:t>
      </w:r>
      <w:proofErr w:type="spellStart"/>
      <w:proofErr w:type="gramStart"/>
      <w:r w:rsidRPr="00FB0BC4">
        <w:rPr>
          <w:rFonts w:ascii="Arial" w:hAnsi="Arial" w:cs="Arial"/>
          <w:b/>
          <w:bCs/>
          <w:lang w:val="en-US"/>
        </w:rPr>
        <w:t>non binding</w:t>
      </w:r>
      <w:proofErr w:type="spellEnd"/>
      <w:proofErr w:type="gramEnd"/>
      <w:r>
        <w:rPr>
          <w:rFonts w:ascii="Arial" w:hAnsi="Arial" w:cs="Arial"/>
          <w:lang w:val="en-US"/>
        </w:rPr>
        <w:t xml:space="preserve"> and</w:t>
      </w:r>
      <w:r w:rsidRPr="00850CD2">
        <w:rPr>
          <w:rFonts w:ascii="Arial" w:hAnsi="Arial" w:cs="Arial"/>
          <w:lang w:val="en-US"/>
        </w:rPr>
        <w:t xml:space="preserve"> sets out the </w:t>
      </w:r>
      <w:r>
        <w:rPr>
          <w:rFonts w:ascii="Arial" w:hAnsi="Arial" w:cs="Arial"/>
          <w:lang w:val="en-US"/>
        </w:rPr>
        <w:t xml:space="preserve">key commercial terms and </w:t>
      </w:r>
      <w:r w:rsidRPr="00850CD2">
        <w:rPr>
          <w:rFonts w:ascii="Arial" w:hAnsi="Arial" w:cs="Arial"/>
          <w:lang w:val="en-US"/>
        </w:rPr>
        <w:t xml:space="preserve">conditions prior to </w:t>
      </w:r>
      <w:proofErr w:type="spellStart"/>
      <w:r w:rsidRPr="00850CD2">
        <w:rPr>
          <w:rFonts w:ascii="Arial" w:hAnsi="Arial" w:cs="Arial"/>
          <w:lang w:val="en-US"/>
        </w:rPr>
        <w:t>formalising</w:t>
      </w:r>
      <w:proofErr w:type="spellEnd"/>
      <w:r w:rsidRPr="00850CD2">
        <w:rPr>
          <w:rFonts w:ascii="Arial" w:hAnsi="Arial" w:cs="Arial"/>
          <w:lang w:val="en-US"/>
        </w:rPr>
        <w:t xml:space="preserve"> the final contract</w:t>
      </w:r>
      <w:r>
        <w:rPr>
          <w:rFonts w:ascii="Arial" w:hAnsi="Arial" w:cs="Arial"/>
          <w:lang w:val="en-US"/>
        </w:rPr>
        <w:t xml:space="preserve">, being a full </w:t>
      </w:r>
      <w:proofErr w:type="spellStart"/>
      <w:r>
        <w:rPr>
          <w:rFonts w:ascii="Arial" w:hAnsi="Arial" w:cs="Arial"/>
          <w:lang w:val="en-US"/>
        </w:rPr>
        <w:t>SubLease</w:t>
      </w:r>
      <w:proofErr w:type="spellEnd"/>
      <w:r>
        <w:rPr>
          <w:rFonts w:ascii="Arial" w:hAnsi="Arial" w:cs="Arial"/>
          <w:lang w:val="en-US"/>
        </w:rPr>
        <w:t xml:space="preserve"> document</w:t>
      </w:r>
      <w:r w:rsidRPr="00586CC0">
        <w:rPr>
          <w:rFonts w:ascii="Arial" w:hAnsi="Arial" w:cs="Arial"/>
          <w:lang w:val="en-US"/>
        </w:rPr>
        <w:t xml:space="preserve">. It is important to take the time to correctly review the </w:t>
      </w:r>
      <w:r>
        <w:rPr>
          <w:rFonts w:ascii="Arial" w:hAnsi="Arial" w:cs="Arial"/>
          <w:lang w:val="en-US"/>
        </w:rPr>
        <w:t>HOA</w:t>
      </w:r>
      <w:r w:rsidRPr="00586CC0">
        <w:rPr>
          <w:rFonts w:ascii="Arial" w:hAnsi="Arial" w:cs="Arial"/>
          <w:lang w:val="en-US"/>
        </w:rPr>
        <w:t xml:space="preserve"> before </w:t>
      </w:r>
      <w:proofErr w:type="gramStart"/>
      <w:r w:rsidRPr="00586CC0">
        <w:rPr>
          <w:rFonts w:ascii="Arial" w:hAnsi="Arial" w:cs="Arial"/>
          <w:lang w:val="en-US"/>
        </w:rPr>
        <w:t>entering into</w:t>
      </w:r>
      <w:proofErr w:type="gramEnd"/>
      <w:r w:rsidRPr="00586CC0">
        <w:rPr>
          <w:rFonts w:ascii="Arial" w:hAnsi="Arial" w:cs="Arial"/>
          <w:lang w:val="en-US"/>
        </w:rPr>
        <w:t xml:space="preserve"> a </w:t>
      </w:r>
      <w:proofErr w:type="spellStart"/>
      <w:r>
        <w:rPr>
          <w:rFonts w:ascii="Arial" w:hAnsi="Arial" w:cs="Arial"/>
          <w:lang w:val="en-US"/>
        </w:rPr>
        <w:t>SubL</w:t>
      </w:r>
      <w:r w:rsidRPr="00586CC0">
        <w:rPr>
          <w:rFonts w:ascii="Arial" w:hAnsi="Arial" w:cs="Arial"/>
          <w:lang w:val="en-US"/>
        </w:rPr>
        <w:t>ease</w:t>
      </w:r>
      <w:proofErr w:type="spellEnd"/>
      <w:r w:rsidRPr="00586CC0">
        <w:rPr>
          <w:rFonts w:ascii="Arial" w:hAnsi="Arial" w:cs="Arial"/>
          <w:lang w:val="en-US"/>
        </w:rPr>
        <w:t xml:space="preserve"> as it sets out the key terms of the relationship. </w:t>
      </w:r>
    </w:p>
    <w:p w14:paraId="75BE529B" w14:textId="77777777" w:rsidR="00962F08" w:rsidRPr="00506C69" w:rsidRDefault="00962F08" w:rsidP="00962F08">
      <w:pPr>
        <w:spacing w:after="0" w:line="240" w:lineRule="auto"/>
        <w:jc w:val="both"/>
        <w:rPr>
          <w:rFonts w:ascii="Arial" w:hAnsi="Arial" w:cs="Arial"/>
          <w:sz w:val="24"/>
          <w:szCs w:val="24"/>
        </w:rPr>
      </w:pPr>
    </w:p>
    <w:p w14:paraId="21740BA2" w14:textId="77777777" w:rsidR="00962F08" w:rsidRDefault="00962F08" w:rsidP="00962F08">
      <w:pPr>
        <w:spacing w:after="0" w:line="240" w:lineRule="auto"/>
        <w:jc w:val="both"/>
        <w:rPr>
          <w:rFonts w:ascii="Arial" w:hAnsi="Arial" w:cs="Arial"/>
          <w:sz w:val="24"/>
          <w:szCs w:val="24"/>
          <w:lang w:eastAsia="en-AU"/>
        </w:rPr>
      </w:pPr>
      <w:r w:rsidRPr="00FB0BC4">
        <w:rPr>
          <w:rFonts w:ascii="Arial" w:hAnsi="Arial" w:cs="Arial"/>
          <w:b/>
          <w:bCs/>
          <w:sz w:val="24"/>
          <w:szCs w:val="24"/>
        </w:rPr>
        <w:t xml:space="preserve">Agreement for </w:t>
      </w:r>
      <w:proofErr w:type="spellStart"/>
      <w:r>
        <w:rPr>
          <w:rFonts w:ascii="Arial" w:hAnsi="Arial" w:cs="Arial"/>
          <w:b/>
          <w:bCs/>
          <w:sz w:val="24"/>
          <w:szCs w:val="24"/>
        </w:rPr>
        <w:t>Sub</w:t>
      </w:r>
      <w:r w:rsidRPr="00FB0BC4">
        <w:rPr>
          <w:rFonts w:ascii="Arial" w:hAnsi="Arial" w:cs="Arial"/>
          <w:b/>
          <w:bCs/>
          <w:sz w:val="24"/>
          <w:szCs w:val="24"/>
        </w:rPr>
        <w:t>Lease</w:t>
      </w:r>
      <w:proofErr w:type="spellEnd"/>
      <w:r>
        <w:rPr>
          <w:rFonts w:ascii="Arial" w:hAnsi="Arial" w:cs="Arial"/>
          <w:b/>
          <w:bCs/>
          <w:sz w:val="24"/>
          <w:szCs w:val="24"/>
        </w:rPr>
        <w:t xml:space="preserve"> - </w:t>
      </w:r>
      <w:r w:rsidRPr="00C167C7">
        <w:rPr>
          <w:rFonts w:ascii="Arial" w:hAnsi="Arial" w:cs="Arial"/>
          <w:sz w:val="24"/>
          <w:szCs w:val="24"/>
          <w:lang w:eastAsia="en-AU"/>
        </w:rPr>
        <w:t xml:space="preserve">An Agreement for </w:t>
      </w:r>
      <w:proofErr w:type="spellStart"/>
      <w:r>
        <w:rPr>
          <w:rFonts w:ascii="Arial" w:hAnsi="Arial" w:cs="Arial"/>
          <w:sz w:val="24"/>
          <w:szCs w:val="24"/>
          <w:lang w:eastAsia="en-AU"/>
        </w:rPr>
        <w:t>Sub</w:t>
      </w:r>
      <w:r w:rsidRPr="00C167C7">
        <w:rPr>
          <w:rFonts w:ascii="Arial" w:hAnsi="Arial" w:cs="Arial"/>
          <w:sz w:val="24"/>
          <w:szCs w:val="24"/>
          <w:lang w:eastAsia="en-AU"/>
        </w:rPr>
        <w:t>Lease</w:t>
      </w:r>
      <w:proofErr w:type="spellEnd"/>
      <w:r w:rsidRPr="00C167C7">
        <w:rPr>
          <w:rFonts w:ascii="Arial" w:hAnsi="Arial" w:cs="Arial"/>
          <w:sz w:val="24"/>
          <w:szCs w:val="24"/>
          <w:lang w:eastAsia="en-AU"/>
        </w:rPr>
        <w:t xml:space="preserve"> is a </w:t>
      </w:r>
      <w:r w:rsidRPr="00C167C7">
        <w:rPr>
          <w:rFonts w:ascii="Arial" w:hAnsi="Arial" w:cs="Arial"/>
          <w:b/>
          <w:bCs/>
          <w:sz w:val="24"/>
          <w:szCs w:val="24"/>
          <w:lang w:eastAsia="en-AU"/>
        </w:rPr>
        <w:t>binding agreement</w:t>
      </w:r>
      <w:r w:rsidRPr="00C167C7">
        <w:rPr>
          <w:rFonts w:ascii="Arial" w:hAnsi="Arial" w:cs="Arial"/>
          <w:sz w:val="24"/>
          <w:szCs w:val="24"/>
          <w:lang w:eastAsia="en-AU"/>
        </w:rPr>
        <w:t xml:space="preserve"> between the landlord (City of Nedlands as authorised by the DLPH) and the prospective tenant </w:t>
      </w:r>
      <w:proofErr w:type="spellStart"/>
      <w:r w:rsidRPr="00C167C7">
        <w:rPr>
          <w:rFonts w:ascii="Arial" w:hAnsi="Arial" w:cs="Arial"/>
          <w:sz w:val="24"/>
          <w:szCs w:val="24"/>
          <w:lang w:eastAsia="en-AU"/>
        </w:rPr>
        <w:t>ie</w:t>
      </w:r>
      <w:proofErr w:type="spellEnd"/>
      <w:r w:rsidRPr="00C167C7">
        <w:rPr>
          <w:rFonts w:ascii="Arial" w:hAnsi="Arial" w:cs="Arial"/>
          <w:sz w:val="24"/>
          <w:szCs w:val="24"/>
          <w:lang w:eastAsia="en-AU"/>
        </w:rPr>
        <w:t xml:space="preserve"> </w:t>
      </w:r>
      <w:proofErr w:type="spellStart"/>
      <w:r w:rsidRPr="00C167C7">
        <w:rPr>
          <w:rFonts w:ascii="Arial" w:hAnsi="Arial" w:cs="Arial"/>
          <w:sz w:val="24"/>
          <w:szCs w:val="24"/>
          <w:lang w:eastAsia="en-AU"/>
        </w:rPr>
        <w:t>Tawarri</w:t>
      </w:r>
      <w:proofErr w:type="spellEnd"/>
      <w:r w:rsidRPr="00C167C7">
        <w:rPr>
          <w:rFonts w:ascii="Arial" w:hAnsi="Arial" w:cs="Arial"/>
          <w:sz w:val="24"/>
          <w:szCs w:val="24"/>
          <w:lang w:eastAsia="en-AU"/>
        </w:rPr>
        <w:t xml:space="preserve"> Hot Springs Pty Ltd.  It sets out the rights and obligations of all parties and limits the potential of disputes arising. An Agreement for </w:t>
      </w:r>
      <w:proofErr w:type="spellStart"/>
      <w:r>
        <w:rPr>
          <w:rFonts w:ascii="Arial" w:hAnsi="Arial" w:cs="Arial"/>
          <w:sz w:val="24"/>
          <w:szCs w:val="24"/>
          <w:lang w:eastAsia="en-AU"/>
        </w:rPr>
        <w:t>Sub</w:t>
      </w:r>
      <w:r w:rsidRPr="00C167C7">
        <w:rPr>
          <w:rFonts w:ascii="Arial" w:hAnsi="Arial" w:cs="Arial"/>
          <w:sz w:val="24"/>
          <w:szCs w:val="24"/>
          <w:lang w:eastAsia="en-AU"/>
        </w:rPr>
        <w:t>Lease</w:t>
      </w:r>
      <w:proofErr w:type="spellEnd"/>
      <w:r w:rsidRPr="00C167C7">
        <w:rPr>
          <w:rFonts w:ascii="Arial" w:hAnsi="Arial" w:cs="Arial"/>
          <w:sz w:val="24"/>
          <w:szCs w:val="24"/>
          <w:lang w:eastAsia="en-AU"/>
        </w:rPr>
        <w:t xml:space="preserve"> is most commonly used when premises are not yet ready to be leased. The document provides certainty for the landlord and prospective tenant and protects the interests of both parties.  </w:t>
      </w:r>
    </w:p>
    <w:p w14:paraId="7BEEFB1F" w14:textId="77777777" w:rsidR="00962F08" w:rsidRPr="00C167C7" w:rsidRDefault="00962F08" w:rsidP="00962F08">
      <w:pPr>
        <w:spacing w:after="0" w:line="240" w:lineRule="auto"/>
        <w:jc w:val="both"/>
        <w:rPr>
          <w:rFonts w:ascii="Arial" w:hAnsi="Arial" w:cs="Arial"/>
          <w:sz w:val="24"/>
          <w:szCs w:val="24"/>
          <w:lang w:eastAsia="en-AU"/>
        </w:rPr>
      </w:pPr>
    </w:p>
    <w:p w14:paraId="1A24DA16" w14:textId="57B75882" w:rsidR="00962F08" w:rsidRDefault="00962F08" w:rsidP="00962F08">
      <w:pPr>
        <w:spacing w:after="0" w:line="240" w:lineRule="auto"/>
        <w:jc w:val="both"/>
        <w:rPr>
          <w:rFonts w:ascii="Arial" w:hAnsi="Arial" w:cs="Arial"/>
          <w:sz w:val="24"/>
          <w:szCs w:val="24"/>
          <w:lang w:eastAsia="en-AU"/>
        </w:rPr>
      </w:pPr>
      <w:r w:rsidRPr="00586CC0">
        <w:rPr>
          <w:rFonts w:ascii="Arial" w:hAnsi="Arial" w:cs="Arial"/>
          <w:sz w:val="24"/>
          <w:szCs w:val="24"/>
          <w:lang w:eastAsia="en-AU"/>
        </w:rPr>
        <w:t xml:space="preserve">An </w:t>
      </w:r>
      <w:r>
        <w:rPr>
          <w:rFonts w:ascii="Arial" w:hAnsi="Arial" w:cs="Arial"/>
          <w:sz w:val="24"/>
          <w:szCs w:val="24"/>
          <w:lang w:eastAsia="en-AU"/>
        </w:rPr>
        <w:t>A</w:t>
      </w:r>
      <w:r w:rsidRPr="00586CC0">
        <w:rPr>
          <w:rFonts w:ascii="Arial" w:hAnsi="Arial" w:cs="Arial"/>
          <w:sz w:val="24"/>
          <w:szCs w:val="24"/>
          <w:lang w:eastAsia="en-AU"/>
        </w:rPr>
        <w:t xml:space="preserve">greement for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creates a </w:t>
      </w:r>
      <w:r w:rsidRPr="006E649B">
        <w:rPr>
          <w:rFonts w:ascii="Arial" w:hAnsi="Arial" w:cs="Arial"/>
          <w:b/>
          <w:bCs/>
          <w:sz w:val="24"/>
          <w:szCs w:val="24"/>
          <w:lang w:eastAsia="en-AU"/>
        </w:rPr>
        <w:t>binding obligation</w:t>
      </w:r>
      <w:r w:rsidRPr="00586CC0">
        <w:rPr>
          <w:rFonts w:ascii="Arial" w:hAnsi="Arial" w:cs="Arial"/>
          <w:sz w:val="24"/>
          <w:szCs w:val="24"/>
          <w:lang w:eastAsia="en-AU"/>
        </w:rPr>
        <w:t xml:space="preserve"> on the landlord and tenant. This means there is an expectation they will each fulfil their requirements under the agreement. An </w:t>
      </w:r>
      <w:r>
        <w:rPr>
          <w:rFonts w:ascii="Arial" w:hAnsi="Arial" w:cs="Arial"/>
          <w:sz w:val="24"/>
          <w:szCs w:val="24"/>
          <w:lang w:eastAsia="en-AU"/>
        </w:rPr>
        <w:t>A</w:t>
      </w:r>
      <w:r w:rsidRPr="00586CC0">
        <w:rPr>
          <w:rFonts w:ascii="Arial" w:hAnsi="Arial" w:cs="Arial"/>
          <w:sz w:val="24"/>
          <w:szCs w:val="24"/>
          <w:lang w:eastAsia="en-AU"/>
        </w:rPr>
        <w:t xml:space="preserve">greement for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is, therefore, beneficial for both parties. For </w:t>
      </w:r>
      <w:r w:rsidRPr="00586CC0">
        <w:rPr>
          <w:rFonts w:ascii="Arial" w:hAnsi="Arial" w:cs="Arial"/>
          <w:sz w:val="24"/>
          <w:szCs w:val="24"/>
          <w:lang w:eastAsia="en-AU"/>
        </w:rPr>
        <w:lastRenderedPageBreak/>
        <w:t xml:space="preserve">the landlord, it guarantees a tenant and future rental income. For the tenant, it provides certainty of future possession of the premises. </w:t>
      </w:r>
    </w:p>
    <w:p w14:paraId="12CF415B" w14:textId="77777777" w:rsidR="00962F08" w:rsidRDefault="00962F08" w:rsidP="00962F08">
      <w:pPr>
        <w:spacing w:after="0" w:line="240" w:lineRule="auto"/>
        <w:jc w:val="both"/>
        <w:rPr>
          <w:rFonts w:ascii="Arial" w:hAnsi="Arial" w:cs="Arial"/>
          <w:sz w:val="24"/>
          <w:szCs w:val="24"/>
          <w:lang w:eastAsia="en-AU"/>
        </w:rPr>
      </w:pPr>
    </w:p>
    <w:p w14:paraId="340AFED9" w14:textId="16DC01CE" w:rsidR="00962F08" w:rsidRDefault="00962F08" w:rsidP="00962F08">
      <w:pPr>
        <w:spacing w:after="0" w:line="240" w:lineRule="auto"/>
        <w:jc w:val="both"/>
        <w:rPr>
          <w:rFonts w:ascii="Arial" w:hAnsi="Arial" w:cs="Arial"/>
          <w:sz w:val="24"/>
          <w:szCs w:val="24"/>
          <w:lang w:eastAsia="en-AU"/>
        </w:rPr>
      </w:pPr>
      <w:r w:rsidRPr="00586CC0">
        <w:rPr>
          <w:rFonts w:ascii="Arial" w:hAnsi="Arial" w:cs="Arial"/>
          <w:sz w:val="24"/>
          <w:szCs w:val="24"/>
          <w:lang w:eastAsia="en-AU"/>
        </w:rPr>
        <w:t xml:space="preserve">Both the landlord and tenant </w:t>
      </w:r>
      <w:r>
        <w:rPr>
          <w:rFonts w:ascii="Arial" w:hAnsi="Arial" w:cs="Arial"/>
          <w:sz w:val="24"/>
          <w:szCs w:val="24"/>
          <w:lang w:eastAsia="en-AU"/>
        </w:rPr>
        <w:t>could be</w:t>
      </w:r>
      <w:r w:rsidRPr="00586CC0">
        <w:rPr>
          <w:rFonts w:ascii="Arial" w:hAnsi="Arial" w:cs="Arial"/>
          <w:sz w:val="24"/>
          <w:szCs w:val="24"/>
          <w:lang w:eastAsia="en-AU"/>
        </w:rPr>
        <w:t xml:space="preserve"> vulnerable to suffering loss if they have not drafted the </w:t>
      </w:r>
      <w:r>
        <w:rPr>
          <w:rFonts w:ascii="Arial" w:hAnsi="Arial" w:cs="Arial"/>
          <w:sz w:val="24"/>
          <w:szCs w:val="24"/>
          <w:lang w:eastAsia="en-AU"/>
        </w:rPr>
        <w:t>A</w:t>
      </w:r>
      <w:r w:rsidRPr="00586CC0">
        <w:rPr>
          <w:rFonts w:ascii="Arial" w:hAnsi="Arial" w:cs="Arial"/>
          <w:sz w:val="24"/>
          <w:szCs w:val="24"/>
          <w:lang w:eastAsia="en-AU"/>
        </w:rPr>
        <w:t xml:space="preserve">greement for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correctly. The following should be included in the agreement:</w:t>
      </w:r>
    </w:p>
    <w:p w14:paraId="24DFACEA" w14:textId="77777777" w:rsidR="00962F08" w:rsidRPr="00586CC0" w:rsidRDefault="00962F08" w:rsidP="00962F08">
      <w:pPr>
        <w:spacing w:after="0" w:line="240" w:lineRule="auto"/>
        <w:jc w:val="both"/>
        <w:rPr>
          <w:rFonts w:ascii="Arial" w:hAnsi="Arial" w:cs="Arial"/>
          <w:sz w:val="24"/>
          <w:szCs w:val="24"/>
          <w:lang w:eastAsia="en-AU"/>
        </w:rPr>
      </w:pPr>
    </w:p>
    <w:p w14:paraId="33F95DEE" w14:textId="76064CC2" w:rsidR="00962F08" w:rsidRPr="00586CC0" w:rsidRDefault="00962F08" w:rsidP="00962F08">
      <w:pPr>
        <w:spacing w:after="0" w:line="240" w:lineRule="auto"/>
        <w:ind w:left="720"/>
        <w:jc w:val="both"/>
        <w:rPr>
          <w:rFonts w:ascii="Arial" w:hAnsi="Arial" w:cs="Arial"/>
          <w:sz w:val="24"/>
          <w:szCs w:val="24"/>
          <w:lang w:eastAsia="en-AU"/>
        </w:rPr>
      </w:pPr>
      <w:r w:rsidRPr="00C3739B">
        <w:rPr>
          <w:rFonts w:ascii="Arial" w:hAnsi="Arial" w:cs="Arial"/>
          <w:b/>
          <w:bCs/>
          <w:sz w:val="24"/>
          <w:szCs w:val="24"/>
          <w:lang w:eastAsia="en-AU"/>
        </w:rPr>
        <w:t xml:space="preserve">The </w:t>
      </w:r>
      <w:proofErr w:type="spellStart"/>
      <w:r w:rsidRPr="00C3739B">
        <w:rPr>
          <w:rFonts w:ascii="Arial" w:hAnsi="Arial" w:cs="Arial"/>
          <w:b/>
          <w:bCs/>
          <w:sz w:val="24"/>
          <w:szCs w:val="24"/>
          <w:lang w:eastAsia="en-AU"/>
        </w:rPr>
        <w:t>SubLease</w:t>
      </w:r>
      <w:proofErr w:type="spellEnd"/>
      <w:r w:rsidRPr="00586CC0">
        <w:rPr>
          <w:rFonts w:ascii="Arial" w:hAnsi="Arial" w:cs="Arial"/>
          <w:sz w:val="24"/>
          <w:szCs w:val="24"/>
          <w:lang w:eastAsia="en-AU"/>
        </w:rPr>
        <w:t xml:space="preserve"> - the actual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to the agreement. It should be complete, except for the terms that need to be drafted after the premises are built. </w:t>
      </w:r>
    </w:p>
    <w:p w14:paraId="009553E6" w14:textId="77777777" w:rsidR="00962F08" w:rsidRPr="008B35BA" w:rsidRDefault="00962F08" w:rsidP="00962F08">
      <w:pPr>
        <w:spacing w:after="0" w:line="240" w:lineRule="auto"/>
        <w:ind w:left="720"/>
        <w:jc w:val="both"/>
        <w:rPr>
          <w:rFonts w:ascii="Arial" w:hAnsi="Arial" w:cs="Arial"/>
          <w:sz w:val="24"/>
          <w:szCs w:val="24"/>
          <w:lang w:eastAsia="en-AU"/>
        </w:rPr>
      </w:pPr>
    </w:p>
    <w:p w14:paraId="7BC04943" w14:textId="279B463B" w:rsidR="00962F08" w:rsidRPr="00586CC0" w:rsidRDefault="00962F08" w:rsidP="00962F08">
      <w:pPr>
        <w:spacing w:after="0" w:line="240" w:lineRule="auto"/>
        <w:ind w:left="720"/>
        <w:jc w:val="both"/>
        <w:rPr>
          <w:rFonts w:ascii="Arial" w:hAnsi="Arial" w:cs="Arial"/>
          <w:sz w:val="24"/>
          <w:szCs w:val="24"/>
          <w:lang w:eastAsia="en-AU"/>
        </w:rPr>
      </w:pPr>
      <w:r w:rsidRPr="00C3739B">
        <w:rPr>
          <w:rFonts w:ascii="Arial" w:hAnsi="Arial" w:cs="Arial"/>
          <w:b/>
          <w:bCs/>
          <w:sz w:val="24"/>
          <w:szCs w:val="24"/>
          <w:lang w:eastAsia="en-AU"/>
        </w:rPr>
        <w:t>Sunset Clause</w:t>
      </w:r>
      <w:r w:rsidRPr="00586CC0">
        <w:rPr>
          <w:rFonts w:ascii="Arial" w:hAnsi="Arial" w:cs="Arial"/>
          <w:sz w:val="24"/>
          <w:szCs w:val="24"/>
          <w:lang w:eastAsia="en-AU"/>
        </w:rPr>
        <w:t xml:space="preserve"> - A ‘sunset’ date allows a party to terminate the agreement if the other party has not met conditions by a specific date.</w:t>
      </w:r>
      <w:r>
        <w:rPr>
          <w:rFonts w:ascii="Arial" w:hAnsi="Arial" w:cs="Arial"/>
          <w:sz w:val="24"/>
          <w:szCs w:val="24"/>
          <w:lang w:eastAsia="en-AU"/>
        </w:rPr>
        <w:t xml:space="preserve"> </w:t>
      </w:r>
      <w:r w:rsidRPr="00586CC0">
        <w:rPr>
          <w:rFonts w:ascii="Arial" w:hAnsi="Arial" w:cs="Arial"/>
          <w:sz w:val="24"/>
          <w:szCs w:val="24"/>
          <w:lang w:eastAsia="en-AU"/>
        </w:rPr>
        <w:t xml:space="preserve">Consideration should also be given which will allow the agreement to be extended beyond the sunset date due should the date not be able to be met due to external factors, such as delays in consent and adverse weather conditions. Such an extension, however, should not be indefinite. </w:t>
      </w:r>
    </w:p>
    <w:p w14:paraId="1AC77DB7" w14:textId="77777777" w:rsidR="00962F08" w:rsidRDefault="00962F08" w:rsidP="00962F08">
      <w:pPr>
        <w:spacing w:after="0" w:line="240" w:lineRule="auto"/>
        <w:ind w:left="720"/>
        <w:jc w:val="both"/>
        <w:rPr>
          <w:rFonts w:ascii="Arial" w:hAnsi="Arial" w:cs="Arial"/>
          <w:sz w:val="24"/>
          <w:szCs w:val="24"/>
          <w:lang w:eastAsia="en-AU"/>
        </w:rPr>
      </w:pPr>
    </w:p>
    <w:p w14:paraId="722E838F" w14:textId="07B27113" w:rsidR="00962F08" w:rsidRPr="00586CC0" w:rsidRDefault="00962F08" w:rsidP="00962F08">
      <w:pPr>
        <w:spacing w:after="0" w:line="240" w:lineRule="auto"/>
        <w:ind w:left="720"/>
        <w:jc w:val="both"/>
        <w:rPr>
          <w:rFonts w:ascii="Arial" w:hAnsi="Arial" w:cs="Arial"/>
          <w:sz w:val="24"/>
          <w:szCs w:val="24"/>
          <w:lang w:eastAsia="en-AU"/>
        </w:rPr>
      </w:pPr>
      <w:r w:rsidRPr="00C3739B">
        <w:rPr>
          <w:rFonts w:ascii="Arial" w:hAnsi="Arial" w:cs="Arial"/>
          <w:b/>
          <w:bCs/>
          <w:sz w:val="24"/>
          <w:szCs w:val="24"/>
          <w:lang w:eastAsia="en-AU"/>
        </w:rPr>
        <w:t>Consents as to Permitted Use</w:t>
      </w:r>
      <w:r w:rsidRPr="00586CC0">
        <w:rPr>
          <w:rFonts w:ascii="Arial" w:hAnsi="Arial" w:cs="Arial"/>
          <w:sz w:val="24"/>
          <w:szCs w:val="24"/>
          <w:lang w:eastAsia="en-AU"/>
        </w:rPr>
        <w:t xml:space="preserve"> -</w:t>
      </w:r>
      <w:r>
        <w:rPr>
          <w:rFonts w:ascii="Arial" w:hAnsi="Arial" w:cs="Arial"/>
          <w:sz w:val="24"/>
          <w:szCs w:val="24"/>
          <w:lang w:eastAsia="en-AU"/>
        </w:rPr>
        <w:t xml:space="preserve"> </w:t>
      </w:r>
      <w:r w:rsidRPr="00586CC0">
        <w:rPr>
          <w:rFonts w:ascii="Arial" w:hAnsi="Arial" w:cs="Arial"/>
          <w:sz w:val="24"/>
          <w:szCs w:val="24"/>
          <w:lang w:eastAsia="en-AU"/>
        </w:rPr>
        <w:t xml:space="preserve">It is essential the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is subject to the parties obtaining the necessary consent. This is so the tenant can use the premises for its intended purpose. The </w:t>
      </w:r>
      <w:proofErr w:type="spellStart"/>
      <w:r>
        <w:rPr>
          <w:rFonts w:ascii="Arial" w:hAnsi="Arial" w:cs="Arial"/>
          <w:sz w:val="24"/>
          <w:szCs w:val="24"/>
          <w:lang w:eastAsia="en-AU"/>
        </w:rPr>
        <w:t>SubL</w:t>
      </w:r>
      <w:r w:rsidRPr="00586CC0">
        <w:rPr>
          <w:rFonts w:ascii="Arial" w:hAnsi="Arial" w:cs="Arial"/>
          <w:sz w:val="24"/>
          <w:szCs w:val="24"/>
          <w:lang w:eastAsia="en-AU"/>
        </w:rPr>
        <w:t>ease</w:t>
      </w:r>
      <w:proofErr w:type="spellEnd"/>
      <w:r w:rsidRPr="00586CC0">
        <w:rPr>
          <w:rFonts w:ascii="Arial" w:hAnsi="Arial" w:cs="Arial"/>
          <w:sz w:val="24"/>
          <w:szCs w:val="24"/>
          <w:lang w:eastAsia="en-AU"/>
        </w:rPr>
        <w:t xml:space="preserve"> should specify who is responsible for acquiring the consent. </w:t>
      </w:r>
    </w:p>
    <w:p w14:paraId="7D79F9FC" w14:textId="7186D7ED" w:rsidR="00962F08" w:rsidRPr="00FB0BC4" w:rsidRDefault="00962F08" w:rsidP="00962F08">
      <w:pPr>
        <w:spacing w:after="0" w:line="240" w:lineRule="auto"/>
        <w:jc w:val="both"/>
        <w:rPr>
          <w:rFonts w:ascii="Arial" w:hAnsi="Arial" w:cs="Arial"/>
          <w:b/>
          <w:bCs/>
          <w:sz w:val="24"/>
          <w:szCs w:val="24"/>
        </w:rPr>
      </w:pPr>
    </w:p>
    <w:p w14:paraId="4B782E42" w14:textId="06026B3B" w:rsidR="00962F08" w:rsidRPr="00B41450" w:rsidRDefault="00962F08" w:rsidP="00962F08">
      <w:pPr>
        <w:spacing w:after="0" w:line="240" w:lineRule="auto"/>
        <w:jc w:val="both"/>
        <w:rPr>
          <w:rFonts w:ascii="Arial" w:hAnsi="Arial" w:cs="Arial"/>
          <w:sz w:val="24"/>
          <w:szCs w:val="24"/>
        </w:rPr>
      </w:pPr>
      <w:r w:rsidRPr="008F4350">
        <w:rPr>
          <w:rFonts w:ascii="Arial" w:hAnsi="Arial" w:cs="Arial"/>
          <w:b/>
          <w:bCs/>
          <w:sz w:val="24"/>
          <w:szCs w:val="24"/>
        </w:rPr>
        <w:t>Lease / Sub-Lease</w:t>
      </w:r>
      <w:r w:rsidRPr="008B35BA">
        <w:rPr>
          <w:rFonts w:ascii="Arial" w:hAnsi="Arial" w:cs="Arial"/>
          <w:sz w:val="24"/>
          <w:szCs w:val="24"/>
        </w:rPr>
        <w:t xml:space="preserve"> –</w:t>
      </w:r>
      <w:r>
        <w:rPr>
          <w:rFonts w:ascii="Arial" w:hAnsi="Arial" w:cs="Arial"/>
          <w:b/>
          <w:bCs/>
          <w:sz w:val="24"/>
          <w:szCs w:val="24"/>
        </w:rPr>
        <w:t xml:space="preserve"> </w:t>
      </w:r>
      <w:r w:rsidRPr="00B41450">
        <w:rPr>
          <w:rFonts w:ascii="Arial" w:hAnsi="Arial" w:cs="Arial"/>
          <w:sz w:val="24"/>
          <w:szCs w:val="24"/>
        </w:rPr>
        <w:t>effectively the same document, the State Government lease</w:t>
      </w:r>
      <w:r>
        <w:rPr>
          <w:rFonts w:ascii="Arial" w:hAnsi="Arial" w:cs="Arial"/>
          <w:sz w:val="24"/>
          <w:szCs w:val="24"/>
        </w:rPr>
        <w:t>s</w:t>
      </w:r>
      <w:r w:rsidRPr="00B41450">
        <w:rPr>
          <w:rFonts w:ascii="Arial" w:hAnsi="Arial" w:cs="Arial"/>
          <w:sz w:val="24"/>
          <w:szCs w:val="24"/>
        </w:rPr>
        <w:t xml:space="preserve"> the land to the City, the City sub leases to THS</w:t>
      </w:r>
      <w:r>
        <w:rPr>
          <w:rFonts w:ascii="Arial" w:hAnsi="Arial" w:cs="Arial"/>
          <w:sz w:val="24"/>
          <w:szCs w:val="24"/>
        </w:rPr>
        <w:t xml:space="preserve">. The binding Agreement for </w:t>
      </w:r>
      <w:proofErr w:type="spellStart"/>
      <w:r>
        <w:rPr>
          <w:rFonts w:ascii="Arial" w:hAnsi="Arial" w:cs="Arial"/>
          <w:sz w:val="24"/>
          <w:szCs w:val="24"/>
        </w:rPr>
        <w:t>SubLease</w:t>
      </w:r>
      <w:proofErr w:type="spellEnd"/>
      <w:r>
        <w:rPr>
          <w:rFonts w:ascii="Arial" w:hAnsi="Arial" w:cs="Arial"/>
          <w:sz w:val="24"/>
          <w:szCs w:val="24"/>
        </w:rPr>
        <w:t xml:space="preserve"> has the </w:t>
      </w:r>
      <w:proofErr w:type="spellStart"/>
      <w:r>
        <w:rPr>
          <w:rFonts w:ascii="Arial" w:hAnsi="Arial" w:cs="Arial"/>
          <w:sz w:val="24"/>
          <w:szCs w:val="24"/>
        </w:rPr>
        <w:t>SubLease</w:t>
      </w:r>
      <w:proofErr w:type="spellEnd"/>
      <w:r>
        <w:rPr>
          <w:rFonts w:ascii="Arial" w:hAnsi="Arial" w:cs="Arial"/>
          <w:sz w:val="24"/>
          <w:szCs w:val="24"/>
        </w:rPr>
        <w:t xml:space="preserve"> attached.  The </w:t>
      </w:r>
      <w:proofErr w:type="spellStart"/>
      <w:r>
        <w:rPr>
          <w:rFonts w:ascii="Arial" w:hAnsi="Arial" w:cs="Arial"/>
          <w:sz w:val="24"/>
          <w:szCs w:val="24"/>
        </w:rPr>
        <w:t>SubLease</w:t>
      </w:r>
      <w:proofErr w:type="spellEnd"/>
      <w:r>
        <w:rPr>
          <w:rFonts w:ascii="Arial" w:hAnsi="Arial" w:cs="Arial"/>
          <w:sz w:val="24"/>
          <w:szCs w:val="24"/>
        </w:rPr>
        <w:t xml:space="preserve"> cannot be specific on dates hence the attachment of the Agreement for </w:t>
      </w:r>
      <w:proofErr w:type="spellStart"/>
      <w:r>
        <w:rPr>
          <w:rFonts w:ascii="Arial" w:hAnsi="Arial" w:cs="Arial"/>
          <w:sz w:val="24"/>
          <w:szCs w:val="24"/>
        </w:rPr>
        <w:t>SubLease</w:t>
      </w:r>
      <w:proofErr w:type="spellEnd"/>
      <w:r>
        <w:rPr>
          <w:rFonts w:ascii="Arial" w:hAnsi="Arial" w:cs="Arial"/>
          <w:sz w:val="24"/>
          <w:szCs w:val="24"/>
        </w:rPr>
        <w:t xml:space="preserve"> to the Lease/</w:t>
      </w:r>
      <w:proofErr w:type="spellStart"/>
      <w:r>
        <w:rPr>
          <w:rFonts w:ascii="Arial" w:hAnsi="Arial" w:cs="Arial"/>
          <w:sz w:val="24"/>
          <w:szCs w:val="24"/>
        </w:rPr>
        <w:t>SubLease</w:t>
      </w:r>
      <w:proofErr w:type="spellEnd"/>
      <w:r>
        <w:rPr>
          <w:rFonts w:ascii="Arial" w:hAnsi="Arial" w:cs="Arial"/>
          <w:sz w:val="24"/>
          <w:szCs w:val="24"/>
        </w:rPr>
        <w:t>.</w:t>
      </w:r>
    </w:p>
    <w:p w14:paraId="5C93819A" w14:textId="3875BD6E" w:rsidR="00962F08" w:rsidRDefault="00E73266" w:rsidP="00962F08">
      <w:pPr>
        <w:spacing w:after="0" w:line="240" w:lineRule="auto"/>
        <w:jc w:val="both"/>
        <w:rPr>
          <w:rFonts w:ascii="Arial" w:hAnsi="Arial" w:cs="Arial"/>
          <w:sz w:val="24"/>
          <w:szCs w:val="24"/>
        </w:rPr>
      </w:pPr>
      <w:r>
        <w:rPr>
          <w:noProof/>
        </w:rPr>
        <w:drawing>
          <wp:anchor distT="0" distB="0" distL="114300" distR="114300" simplePos="0" relativeHeight="251658241" behindDoc="1" locked="0" layoutInCell="1" allowOverlap="1" wp14:anchorId="2AA2B0D9" wp14:editId="23F489F5">
            <wp:simplePos x="0" y="0"/>
            <wp:positionH relativeFrom="column">
              <wp:posOffset>525780</wp:posOffset>
            </wp:positionH>
            <wp:positionV relativeFrom="paragraph">
              <wp:posOffset>99695</wp:posOffset>
            </wp:positionV>
            <wp:extent cx="4619625" cy="439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19625" cy="4391025"/>
                    </a:xfrm>
                    <a:prstGeom prst="rect">
                      <a:avLst/>
                    </a:prstGeom>
                  </pic:spPr>
                </pic:pic>
              </a:graphicData>
            </a:graphic>
            <wp14:sizeRelH relativeFrom="page">
              <wp14:pctWidth>0</wp14:pctWidth>
            </wp14:sizeRelH>
            <wp14:sizeRelV relativeFrom="page">
              <wp14:pctHeight>0</wp14:pctHeight>
            </wp14:sizeRelV>
          </wp:anchor>
        </w:drawing>
      </w:r>
    </w:p>
    <w:p w14:paraId="21DFD2CE" w14:textId="1EEE5669" w:rsidR="00962F08" w:rsidRDefault="00962F08" w:rsidP="00962F08">
      <w:pPr>
        <w:spacing w:after="0" w:line="240" w:lineRule="auto"/>
        <w:jc w:val="center"/>
        <w:rPr>
          <w:rFonts w:ascii="Arial" w:hAnsi="Arial" w:cs="Arial"/>
          <w:sz w:val="24"/>
          <w:szCs w:val="24"/>
        </w:rPr>
      </w:pPr>
    </w:p>
    <w:p w14:paraId="22A6E4DB" w14:textId="7C3EB4C7" w:rsidR="00962F08" w:rsidRDefault="00962F08" w:rsidP="00962F08">
      <w:pPr>
        <w:spacing w:after="0" w:line="240" w:lineRule="auto"/>
        <w:jc w:val="center"/>
        <w:rPr>
          <w:rFonts w:ascii="Arial" w:hAnsi="Arial" w:cs="Arial"/>
          <w:sz w:val="24"/>
          <w:szCs w:val="24"/>
        </w:rPr>
      </w:pPr>
    </w:p>
    <w:p w14:paraId="3BD766D2" w14:textId="77777777" w:rsidR="00E73266" w:rsidRDefault="00E73266" w:rsidP="00962F08">
      <w:pPr>
        <w:spacing w:after="0" w:line="240" w:lineRule="auto"/>
        <w:jc w:val="both"/>
        <w:rPr>
          <w:rFonts w:ascii="Arial" w:hAnsi="Arial" w:cs="Arial"/>
          <w:sz w:val="24"/>
          <w:szCs w:val="24"/>
        </w:rPr>
      </w:pPr>
    </w:p>
    <w:p w14:paraId="27384C87" w14:textId="77777777" w:rsidR="00E73266" w:rsidRDefault="00E73266" w:rsidP="00962F08">
      <w:pPr>
        <w:spacing w:after="0" w:line="240" w:lineRule="auto"/>
        <w:jc w:val="both"/>
        <w:rPr>
          <w:rFonts w:ascii="Arial" w:hAnsi="Arial" w:cs="Arial"/>
          <w:sz w:val="24"/>
          <w:szCs w:val="24"/>
        </w:rPr>
      </w:pPr>
    </w:p>
    <w:p w14:paraId="6E18E42B" w14:textId="77777777" w:rsidR="00E73266" w:rsidRDefault="00E73266" w:rsidP="00962F08">
      <w:pPr>
        <w:spacing w:after="0" w:line="240" w:lineRule="auto"/>
        <w:jc w:val="both"/>
        <w:rPr>
          <w:rFonts w:ascii="Arial" w:hAnsi="Arial" w:cs="Arial"/>
          <w:sz w:val="24"/>
          <w:szCs w:val="24"/>
        </w:rPr>
      </w:pPr>
    </w:p>
    <w:p w14:paraId="3FD09932" w14:textId="77777777" w:rsidR="00E73266" w:rsidRDefault="00E73266" w:rsidP="00962F08">
      <w:pPr>
        <w:spacing w:after="0" w:line="240" w:lineRule="auto"/>
        <w:jc w:val="both"/>
        <w:rPr>
          <w:rFonts w:ascii="Arial" w:hAnsi="Arial" w:cs="Arial"/>
          <w:sz w:val="24"/>
          <w:szCs w:val="24"/>
        </w:rPr>
      </w:pPr>
    </w:p>
    <w:p w14:paraId="38DF354E" w14:textId="77777777" w:rsidR="00E73266" w:rsidRDefault="00E73266" w:rsidP="00962F08">
      <w:pPr>
        <w:spacing w:after="0" w:line="240" w:lineRule="auto"/>
        <w:jc w:val="both"/>
        <w:rPr>
          <w:rFonts w:ascii="Arial" w:hAnsi="Arial" w:cs="Arial"/>
          <w:sz w:val="24"/>
          <w:szCs w:val="24"/>
        </w:rPr>
      </w:pPr>
    </w:p>
    <w:p w14:paraId="112C4DEE" w14:textId="77777777" w:rsidR="00E73266" w:rsidRDefault="00E73266" w:rsidP="00962F08">
      <w:pPr>
        <w:spacing w:after="0" w:line="240" w:lineRule="auto"/>
        <w:jc w:val="both"/>
        <w:rPr>
          <w:rFonts w:ascii="Arial" w:hAnsi="Arial" w:cs="Arial"/>
          <w:sz w:val="24"/>
          <w:szCs w:val="24"/>
        </w:rPr>
      </w:pPr>
    </w:p>
    <w:p w14:paraId="51007B04" w14:textId="77777777" w:rsidR="00E73266" w:rsidRDefault="00E73266" w:rsidP="00962F08">
      <w:pPr>
        <w:spacing w:after="0" w:line="240" w:lineRule="auto"/>
        <w:jc w:val="both"/>
        <w:rPr>
          <w:rFonts w:ascii="Arial" w:hAnsi="Arial" w:cs="Arial"/>
          <w:sz w:val="24"/>
          <w:szCs w:val="24"/>
        </w:rPr>
      </w:pPr>
    </w:p>
    <w:p w14:paraId="2A8982E6" w14:textId="77777777" w:rsidR="00E73266" w:rsidRDefault="00E73266" w:rsidP="00962F08">
      <w:pPr>
        <w:spacing w:after="0" w:line="240" w:lineRule="auto"/>
        <w:jc w:val="both"/>
        <w:rPr>
          <w:rFonts w:ascii="Arial" w:hAnsi="Arial" w:cs="Arial"/>
          <w:sz w:val="24"/>
          <w:szCs w:val="24"/>
        </w:rPr>
      </w:pPr>
    </w:p>
    <w:p w14:paraId="66D99AAD" w14:textId="77777777" w:rsidR="00E73266" w:rsidRDefault="00E73266" w:rsidP="00962F08">
      <w:pPr>
        <w:spacing w:after="0" w:line="240" w:lineRule="auto"/>
        <w:jc w:val="both"/>
        <w:rPr>
          <w:rFonts w:ascii="Arial" w:hAnsi="Arial" w:cs="Arial"/>
          <w:sz w:val="24"/>
          <w:szCs w:val="24"/>
        </w:rPr>
      </w:pPr>
    </w:p>
    <w:p w14:paraId="0AE75EAD" w14:textId="77777777" w:rsidR="00E73266" w:rsidRDefault="00E73266" w:rsidP="00962F08">
      <w:pPr>
        <w:spacing w:after="0" w:line="240" w:lineRule="auto"/>
        <w:jc w:val="both"/>
        <w:rPr>
          <w:rFonts w:ascii="Arial" w:hAnsi="Arial" w:cs="Arial"/>
          <w:sz w:val="24"/>
          <w:szCs w:val="24"/>
        </w:rPr>
      </w:pPr>
    </w:p>
    <w:p w14:paraId="37CD5A5B" w14:textId="77777777" w:rsidR="00E73266" w:rsidRDefault="00E73266" w:rsidP="00962F08">
      <w:pPr>
        <w:spacing w:after="0" w:line="240" w:lineRule="auto"/>
        <w:jc w:val="both"/>
        <w:rPr>
          <w:rFonts w:ascii="Arial" w:hAnsi="Arial" w:cs="Arial"/>
          <w:sz w:val="24"/>
          <w:szCs w:val="24"/>
        </w:rPr>
      </w:pPr>
    </w:p>
    <w:p w14:paraId="74C9F4E1" w14:textId="77777777" w:rsidR="00E73266" w:rsidRDefault="00E73266" w:rsidP="00962F08">
      <w:pPr>
        <w:spacing w:after="0" w:line="240" w:lineRule="auto"/>
        <w:jc w:val="both"/>
        <w:rPr>
          <w:rFonts w:ascii="Arial" w:hAnsi="Arial" w:cs="Arial"/>
          <w:sz w:val="24"/>
          <w:szCs w:val="24"/>
        </w:rPr>
      </w:pPr>
    </w:p>
    <w:p w14:paraId="3E8CE664" w14:textId="77777777" w:rsidR="00E73266" w:rsidRDefault="00E73266" w:rsidP="00962F08">
      <w:pPr>
        <w:spacing w:after="0" w:line="240" w:lineRule="auto"/>
        <w:jc w:val="both"/>
        <w:rPr>
          <w:rFonts w:ascii="Arial" w:hAnsi="Arial" w:cs="Arial"/>
          <w:sz w:val="24"/>
          <w:szCs w:val="24"/>
        </w:rPr>
      </w:pPr>
    </w:p>
    <w:p w14:paraId="4F57B158" w14:textId="77777777" w:rsidR="00E73266" w:rsidRDefault="00E73266" w:rsidP="00962F08">
      <w:pPr>
        <w:spacing w:after="0" w:line="240" w:lineRule="auto"/>
        <w:jc w:val="both"/>
        <w:rPr>
          <w:rFonts w:ascii="Arial" w:hAnsi="Arial" w:cs="Arial"/>
          <w:sz w:val="24"/>
          <w:szCs w:val="24"/>
        </w:rPr>
      </w:pPr>
    </w:p>
    <w:p w14:paraId="68B4DDEC" w14:textId="77777777" w:rsidR="00E73266" w:rsidRDefault="00E73266" w:rsidP="00962F08">
      <w:pPr>
        <w:spacing w:after="0" w:line="240" w:lineRule="auto"/>
        <w:jc w:val="both"/>
        <w:rPr>
          <w:rFonts w:ascii="Arial" w:hAnsi="Arial" w:cs="Arial"/>
          <w:sz w:val="24"/>
          <w:szCs w:val="24"/>
        </w:rPr>
      </w:pPr>
    </w:p>
    <w:p w14:paraId="46E6B773" w14:textId="77777777" w:rsidR="00E73266" w:rsidRDefault="00E73266" w:rsidP="00962F08">
      <w:pPr>
        <w:spacing w:after="0" w:line="240" w:lineRule="auto"/>
        <w:jc w:val="both"/>
        <w:rPr>
          <w:rFonts w:ascii="Arial" w:hAnsi="Arial" w:cs="Arial"/>
          <w:sz w:val="24"/>
          <w:szCs w:val="24"/>
        </w:rPr>
      </w:pPr>
    </w:p>
    <w:p w14:paraId="75CCCAEE" w14:textId="77777777" w:rsidR="00E73266" w:rsidRDefault="00E73266" w:rsidP="00962F08">
      <w:pPr>
        <w:spacing w:after="0" w:line="240" w:lineRule="auto"/>
        <w:jc w:val="both"/>
        <w:rPr>
          <w:rFonts w:ascii="Arial" w:hAnsi="Arial" w:cs="Arial"/>
          <w:sz w:val="24"/>
          <w:szCs w:val="24"/>
        </w:rPr>
      </w:pPr>
    </w:p>
    <w:p w14:paraId="17678541" w14:textId="77777777" w:rsidR="00E73266" w:rsidRDefault="00E73266" w:rsidP="00962F08">
      <w:pPr>
        <w:spacing w:after="0" w:line="240" w:lineRule="auto"/>
        <w:jc w:val="both"/>
        <w:rPr>
          <w:rFonts w:ascii="Arial" w:hAnsi="Arial" w:cs="Arial"/>
          <w:sz w:val="24"/>
          <w:szCs w:val="24"/>
        </w:rPr>
      </w:pPr>
    </w:p>
    <w:p w14:paraId="4EC0A62D" w14:textId="77777777" w:rsidR="00E73266" w:rsidRDefault="00E73266" w:rsidP="00962F08">
      <w:pPr>
        <w:spacing w:after="0" w:line="240" w:lineRule="auto"/>
        <w:jc w:val="both"/>
        <w:rPr>
          <w:rFonts w:ascii="Arial" w:hAnsi="Arial" w:cs="Arial"/>
          <w:sz w:val="24"/>
          <w:szCs w:val="24"/>
        </w:rPr>
      </w:pPr>
    </w:p>
    <w:p w14:paraId="422E2125" w14:textId="77777777" w:rsidR="00E73266" w:rsidRDefault="00E73266" w:rsidP="00962F08">
      <w:pPr>
        <w:spacing w:after="0" w:line="240" w:lineRule="auto"/>
        <w:jc w:val="both"/>
        <w:rPr>
          <w:rFonts w:ascii="Arial" w:hAnsi="Arial" w:cs="Arial"/>
          <w:sz w:val="24"/>
          <w:szCs w:val="24"/>
        </w:rPr>
      </w:pPr>
    </w:p>
    <w:p w14:paraId="77A66BFD" w14:textId="7EBA6E1E" w:rsidR="00962F08" w:rsidRPr="00B41450" w:rsidRDefault="00962F08" w:rsidP="00962F08">
      <w:pPr>
        <w:spacing w:after="0" w:line="240" w:lineRule="auto"/>
        <w:jc w:val="both"/>
        <w:rPr>
          <w:rFonts w:ascii="Arial" w:hAnsi="Arial" w:cs="Arial"/>
          <w:sz w:val="24"/>
          <w:szCs w:val="24"/>
        </w:rPr>
      </w:pPr>
      <w:r w:rsidRPr="004702E7">
        <w:rPr>
          <w:rFonts w:ascii="Arial" w:hAnsi="Arial" w:cs="Arial"/>
          <w:sz w:val="24"/>
          <w:szCs w:val="24"/>
        </w:rPr>
        <w:lastRenderedPageBreak/>
        <w:t>This is the process Council followed when it reached agreement on the Swanbourne Café lease</w:t>
      </w:r>
      <w:r>
        <w:rPr>
          <w:rFonts w:ascii="Arial" w:hAnsi="Arial" w:cs="Arial"/>
          <w:sz w:val="24"/>
          <w:szCs w:val="24"/>
        </w:rPr>
        <w:t xml:space="preserve"> and is the process advised the by the City’s solicitors.</w:t>
      </w:r>
    </w:p>
    <w:p w14:paraId="4689BF39" w14:textId="77777777" w:rsidR="00962F08" w:rsidRPr="00586CC0" w:rsidRDefault="00962F08" w:rsidP="00962F08">
      <w:pPr>
        <w:spacing w:after="0" w:line="240" w:lineRule="auto"/>
        <w:jc w:val="both"/>
        <w:rPr>
          <w:rFonts w:ascii="Arial" w:hAnsi="Arial" w:cs="Arial"/>
          <w:b/>
          <w:bCs/>
          <w:sz w:val="24"/>
          <w:szCs w:val="24"/>
        </w:rPr>
      </w:pPr>
    </w:p>
    <w:p w14:paraId="2D79C05B" w14:textId="77777777" w:rsidR="00962F08" w:rsidRDefault="00962F08" w:rsidP="00962F08">
      <w:pPr>
        <w:pStyle w:val="NormalWeb"/>
        <w:shd w:val="clear" w:color="auto" w:fill="FFFFFF"/>
        <w:jc w:val="both"/>
        <w:rPr>
          <w:rFonts w:ascii="Arial" w:hAnsi="Arial" w:cs="Arial"/>
          <w:b/>
          <w:bCs/>
          <w:lang w:val="en-US"/>
        </w:rPr>
      </w:pPr>
      <w:r w:rsidRPr="002C62B8">
        <w:rPr>
          <w:rFonts w:ascii="Arial" w:hAnsi="Arial" w:cs="Arial"/>
          <w:b/>
          <w:bCs/>
          <w:lang w:val="en-US"/>
        </w:rPr>
        <w:t>The Draft Heads of Agreement and its conditions</w:t>
      </w:r>
    </w:p>
    <w:p w14:paraId="32D523F3" w14:textId="77777777" w:rsidR="00962F08" w:rsidRPr="00AA580F" w:rsidRDefault="00962F08" w:rsidP="00962F08">
      <w:pPr>
        <w:pStyle w:val="NormalWeb"/>
        <w:shd w:val="clear" w:color="auto" w:fill="FFFFFF"/>
        <w:jc w:val="both"/>
        <w:rPr>
          <w:rFonts w:ascii="Arial" w:hAnsi="Arial" w:cs="Arial"/>
          <w:lang w:val="en-US"/>
        </w:rPr>
      </w:pPr>
    </w:p>
    <w:p w14:paraId="35D0E04B" w14:textId="77777777" w:rsidR="00962F08" w:rsidRPr="00586CC0" w:rsidRDefault="00962F08" w:rsidP="00962F08">
      <w:pPr>
        <w:pStyle w:val="NormalWeb"/>
        <w:shd w:val="clear" w:color="auto" w:fill="FFFFFF"/>
        <w:jc w:val="both"/>
        <w:rPr>
          <w:rFonts w:ascii="Arial" w:hAnsi="Arial" w:cs="Arial"/>
          <w:lang w:val="en-US"/>
        </w:rPr>
      </w:pPr>
      <w:r w:rsidRPr="00AA580F">
        <w:rPr>
          <w:rFonts w:ascii="Arial" w:hAnsi="Arial" w:cs="Arial"/>
          <w:lang w:val="en-US"/>
        </w:rPr>
        <w:t>The proposed HOA</w:t>
      </w:r>
      <w:r>
        <w:rPr>
          <w:rFonts w:ascii="Arial" w:hAnsi="Arial" w:cs="Arial"/>
          <w:lang w:val="en-US"/>
        </w:rPr>
        <w:t xml:space="preserve"> is </w:t>
      </w:r>
      <w:proofErr w:type="spellStart"/>
      <w:proofErr w:type="gramStart"/>
      <w:r w:rsidRPr="005D7DCF">
        <w:rPr>
          <w:rFonts w:ascii="Arial" w:hAnsi="Arial" w:cs="Arial"/>
          <w:b/>
          <w:bCs/>
          <w:lang w:val="en-US"/>
        </w:rPr>
        <w:t>non binding</w:t>
      </w:r>
      <w:proofErr w:type="spellEnd"/>
      <w:proofErr w:type="gramEnd"/>
      <w:r>
        <w:rPr>
          <w:rFonts w:ascii="Arial" w:hAnsi="Arial" w:cs="Arial"/>
          <w:lang w:val="en-US"/>
        </w:rPr>
        <w:t xml:space="preserve"> and</w:t>
      </w:r>
      <w:r w:rsidRPr="00AA580F">
        <w:rPr>
          <w:rFonts w:ascii="Arial" w:hAnsi="Arial" w:cs="Arial"/>
          <w:lang w:val="en-US"/>
        </w:rPr>
        <w:t xml:space="preserve"> provides structure to the relationship between the City and the preferred proponent. It also allows Council to take the time to understand the more complex details that the final </w:t>
      </w:r>
      <w:proofErr w:type="spellStart"/>
      <w:r>
        <w:rPr>
          <w:rFonts w:ascii="Arial" w:hAnsi="Arial" w:cs="Arial"/>
          <w:lang w:val="en-US"/>
        </w:rPr>
        <w:t>SubL</w:t>
      </w:r>
      <w:r w:rsidRPr="00AA580F">
        <w:rPr>
          <w:rFonts w:ascii="Arial" w:hAnsi="Arial" w:cs="Arial"/>
          <w:lang w:val="en-US"/>
        </w:rPr>
        <w:t>ease</w:t>
      </w:r>
      <w:proofErr w:type="spellEnd"/>
      <w:r w:rsidRPr="00AA580F">
        <w:rPr>
          <w:rFonts w:ascii="Arial" w:hAnsi="Arial" w:cs="Arial"/>
          <w:lang w:val="en-US"/>
        </w:rPr>
        <w:t xml:space="preserve"> will include. In this way, a HOA is a part of the negotiating process</w:t>
      </w:r>
      <w:r>
        <w:rPr>
          <w:rFonts w:ascii="Arial" w:hAnsi="Arial" w:cs="Arial"/>
          <w:lang w:val="en-US"/>
        </w:rPr>
        <w:t xml:space="preserve"> and specifies the key commercial terms and conditions</w:t>
      </w:r>
      <w:r w:rsidRPr="00AA580F">
        <w:rPr>
          <w:rFonts w:ascii="Arial" w:hAnsi="Arial" w:cs="Arial"/>
          <w:lang w:val="en-US"/>
        </w:rPr>
        <w:t xml:space="preserve">. </w:t>
      </w:r>
    </w:p>
    <w:p w14:paraId="29396DDF" w14:textId="77777777" w:rsidR="00962F08" w:rsidRPr="00586CC0" w:rsidRDefault="00962F08" w:rsidP="00962F08">
      <w:pPr>
        <w:spacing w:after="0" w:line="240" w:lineRule="auto"/>
        <w:jc w:val="both"/>
        <w:rPr>
          <w:rFonts w:ascii="Arial" w:hAnsi="Arial" w:cs="Arial"/>
          <w:b/>
          <w:bCs/>
          <w:sz w:val="24"/>
          <w:szCs w:val="24"/>
        </w:rPr>
      </w:pPr>
    </w:p>
    <w:p w14:paraId="1B38C893" w14:textId="77777777" w:rsidR="00962F08" w:rsidRPr="00586CC0" w:rsidRDefault="00962F08" w:rsidP="00962F08">
      <w:pPr>
        <w:spacing w:after="0" w:line="240" w:lineRule="auto"/>
        <w:jc w:val="both"/>
        <w:rPr>
          <w:rFonts w:ascii="Arial" w:hAnsi="Arial" w:cs="Arial"/>
          <w:sz w:val="24"/>
          <w:szCs w:val="24"/>
        </w:rPr>
      </w:pPr>
      <w:proofErr w:type="gramStart"/>
      <w:r w:rsidRPr="00586CC0">
        <w:rPr>
          <w:rFonts w:ascii="Arial" w:hAnsi="Arial" w:cs="Arial"/>
          <w:sz w:val="24"/>
          <w:szCs w:val="24"/>
        </w:rPr>
        <w:t>In order for</w:t>
      </w:r>
      <w:proofErr w:type="gramEnd"/>
      <w:r w:rsidRPr="00586CC0">
        <w:rPr>
          <w:rFonts w:ascii="Arial" w:hAnsi="Arial" w:cs="Arial"/>
          <w:sz w:val="24"/>
          <w:szCs w:val="24"/>
        </w:rPr>
        <w:t xml:space="preserve"> Council to make a decision on whether it is appropriate to approve the draft </w:t>
      </w:r>
      <w:r w:rsidRPr="00AA580F">
        <w:rPr>
          <w:rFonts w:ascii="Arial" w:hAnsi="Arial" w:cs="Arial"/>
          <w:sz w:val="24"/>
          <w:szCs w:val="24"/>
          <w:lang w:val="en-US"/>
        </w:rPr>
        <w:t>HOA</w:t>
      </w:r>
      <w:r w:rsidRPr="00586CC0">
        <w:rPr>
          <w:rFonts w:ascii="Arial" w:hAnsi="Arial" w:cs="Arial"/>
          <w:sz w:val="24"/>
          <w:szCs w:val="24"/>
        </w:rPr>
        <w:t>, the additional information is provided by way of background;</w:t>
      </w:r>
    </w:p>
    <w:p w14:paraId="6C736A98" w14:textId="77777777" w:rsidR="00962F08" w:rsidRDefault="00962F08" w:rsidP="00962F08">
      <w:pPr>
        <w:spacing w:after="0" w:line="240" w:lineRule="auto"/>
        <w:jc w:val="both"/>
        <w:rPr>
          <w:rFonts w:ascii="Arial" w:hAnsi="Arial" w:cs="Arial"/>
          <w:sz w:val="24"/>
          <w:szCs w:val="24"/>
          <w:lang w:val="en-US"/>
        </w:rPr>
      </w:pPr>
    </w:p>
    <w:p w14:paraId="22CD3617"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recent receipt (24 July 2019) of the </w:t>
      </w:r>
      <w:r w:rsidRPr="00AA580F">
        <w:rPr>
          <w:rFonts w:ascii="Arial" w:hAnsi="Arial" w:cs="Arial"/>
          <w:sz w:val="24"/>
          <w:szCs w:val="24"/>
          <w:lang w:val="en-US"/>
        </w:rPr>
        <w:t>HOA</w:t>
      </w:r>
      <w:r w:rsidRPr="00586CC0">
        <w:rPr>
          <w:rFonts w:ascii="Arial" w:hAnsi="Arial" w:cs="Arial"/>
          <w:sz w:val="24"/>
          <w:szCs w:val="24"/>
          <w:lang w:val="en-US"/>
        </w:rPr>
        <w:t xml:space="preserve"> signed by Kathryn Gunn on behalf of </w:t>
      </w:r>
      <w:r>
        <w:rPr>
          <w:rFonts w:ascii="Arial" w:hAnsi="Arial" w:cs="Arial"/>
          <w:sz w:val="24"/>
          <w:szCs w:val="24"/>
          <w:lang w:val="en-US"/>
        </w:rPr>
        <w:t>THS</w:t>
      </w:r>
      <w:r w:rsidRPr="00586CC0">
        <w:rPr>
          <w:rFonts w:ascii="Arial" w:hAnsi="Arial" w:cs="Arial"/>
          <w:sz w:val="24"/>
          <w:szCs w:val="24"/>
          <w:lang w:val="en-US"/>
        </w:rPr>
        <w:t xml:space="preserve"> and Barry Jones (yet to sign the Shareholders agreement) is the result of several months of negotiation after the City </w:t>
      </w:r>
      <w:r>
        <w:rPr>
          <w:rFonts w:ascii="Arial" w:hAnsi="Arial" w:cs="Arial"/>
          <w:sz w:val="24"/>
          <w:szCs w:val="24"/>
          <w:lang w:val="en-US"/>
        </w:rPr>
        <w:t>endorsed</w:t>
      </w:r>
      <w:r w:rsidRPr="00586CC0">
        <w:rPr>
          <w:rFonts w:ascii="Arial" w:hAnsi="Arial" w:cs="Arial"/>
          <w:sz w:val="24"/>
          <w:szCs w:val="24"/>
          <w:lang w:val="en-US"/>
        </w:rPr>
        <w:t xml:space="preserve"> THS as the preferred </w:t>
      </w:r>
      <w:r>
        <w:rPr>
          <w:rFonts w:ascii="Arial" w:hAnsi="Arial" w:cs="Arial"/>
          <w:sz w:val="24"/>
          <w:szCs w:val="24"/>
          <w:lang w:val="en-US"/>
        </w:rPr>
        <w:t xml:space="preserve">proponent with whom to progress a </w:t>
      </w:r>
      <w:proofErr w:type="spellStart"/>
      <w:r>
        <w:rPr>
          <w:rFonts w:ascii="Arial" w:hAnsi="Arial" w:cs="Arial"/>
          <w:sz w:val="24"/>
          <w:szCs w:val="24"/>
          <w:lang w:val="en-US"/>
        </w:rPr>
        <w:t>SubLease</w:t>
      </w:r>
      <w:proofErr w:type="spellEnd"/>
      <w:r>
        <w:rPr>
          <w:rFonts w:ascii="Arial" w:hAnsi="Arial" w:cs="Arial"/>
          <w:sz w:val="24"/>
          <w:szCs w:val="24"/>
          <w:lang w:val="en-US"/>
        </w:rPr>
        <w:t xml:space="preserve"> agreement,</w:t>
      </w:r>
      <w:r w:rsidRPr="00586CC0">
        <w:rPr>
          <w:rFonts w:ascii="Arial" w:hAnsi="Arial" w:cs="Arial"/>
          <w:sz w:val="24"/>
          <w:szCs w:val="24"/>
          <w:lang w:val="en-US"/>
        </w:rPr>
        <w:t xml:space="preserve"> as a result of </w:t>
      </w:r>
      <w:r>
        <w:rPr>
          <w:rFonts w:ascii="Arial" w:hAnsi="Arial" w:cs="Arial"/>
          <w:sz w:val="24"/>
          <w:szCs w:val="24"/>
          <w:lang w:val="en-US"/>
        </w:rPr>
        <w:t>the RFP process</w:t>
      </w:r>
      <w:r w:rsidRPr="00586CC0">
        <w:rPr>
          <w:rFonts w:ascii="Arial" w:hAnsi="Arial" w:cs="Arial"/>
          <w:sz w:val="24"/>
          <w:szCs w:val="24"/>
          <w:lang w:val="en-US"/>
        </w:rPr>
        <w:t xml:space="preserve"> undertaken by the City in March 2018. The City engaged John Adcock</w:t>
      </w:r>
      <w:r>
        <w:rPr>
          <w:rFonts w:ascii="Arial" w:hAnsi="Arial" w:cs="Arial"/>
          <w:sz w:val="24"/>
          <w:szCs w:val="24"/>
          <w:lang w:val="en-US"/>
        </w:rPr>
        <w:t xml:space="preserve"> of Adroit Consulting Pty Ltd,</w:t>
      </w:r>
      <w:r w:rsidRPr="00586CC0">
        <w:rPr>
          <w:rFonts w:ascii="Arial" w:hAnsi="Arial" w:cs="Arial"/>
          <w:sz w:val="24"/>
          <w:szCs w:val="24"/>
          <w:lang w:val="en-US"/>
        </w:rPr>
        <w:t xml:space="preserve"> a professional lease negotiator to act on its behalf</w:t>
      </w:r>
      <w:r>
        <w:rPr>
          <w:rFonts w:ascii="Arial" w:hAnsi="Arial" w:cs="Arial"/>
          <w:sz w:val="24"/>
          <w:szCs w:val="24"/>
          <w:lang w:val="en-US"/>
        </w:rPr>
        <w:t>.</w:t>
      </w:r>
    </w:p>
    <w:p w14:paraId="35A0E759" w14:textId="77777777" w:rsidR="00962F08" w:rsidRPr="00586CC0" w:rsidRDefault="00962F08" w:rsidP="00962F08">
      <w:pPr>
        <w:spacing w:after="0" w:line="240" w:lineRule="auto"/>
        <w:jc w:val="both"/>
        <w:rPr>
          <w:rFonts w:ascii="Arial" w:hAnsi="Arial" w:cs="Arial"/>
          <w:sz w:val="24"/>
          <w:szCs w:val="24"/>
          <w:lang w:val="en-US"/>
        </w:rPr>
      </w:pPr>
    </w:p>
    <w:p w14:paraId="78D816BF"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Before the RFP was issued </w:t>
      </w:r>
      <w:r>
        <w:rPr>
          <w:rFonts w:ascii="Arial" w:hAnsi="Arial" w:cs="Arial"/>
          <w:sz w:val="24"/>
          <w:szCs w:val="24"/>
          <w:lang w:val="en-US"/>
        </w:rPr>
        <w:t xml:space="preserve">the City engaged the Valuer Generals office at Landgate to provide a market rent </w:t>
      </w:r>
      <w:r w:rsidRPr="00586CC0">
        <w:rPr>
          <w:rFonts w:ascii="Arial" w:hAnsi="Arial" w:cs="Arial"/>
          <w:sz w:val="24"/>
          <w:szCs w:val="24"/>
          <w:lang w:val="en-US"/>
        </w:rPr>
        <w:t>valuation</w:t>
      </w:r>
      <w:r>
        <w:rPr>
          <w:rFonts w:ascii="Arial" w:hAnsi="Arial" w:cs="Arial"/>
          <w:sz w:val="24"/>
          <w:szCs w:val="24"/>
          <w:lang w:val="en-US"/>
        </w:rPr>
        <w:t xml:space="preserve"> for the entire Tawarri site on a ground rent basis</w:t>
      </w:r>
      <w:r w:rsidRPr="00586CC0">
        <w:rPr>
          <w:rFonts w:ascii="Arial" w:hAnsi="Arial" w:cs="Arial"/>
          <w:sz w:val="24"/>
          <w:szCs w:val="24"/>
          <w:lang w:val="en-US"/>
        </w:rPr>
        <w:t xml:space="preserve">. Landgate’s assessment </w:t>
      </w:r>
      <w:r>
        <w:rPr>
          <w:rFonts w:ascii="Arial" w:hAnsi="Arial" w:cs="Arial"/>
          <w:sz w:val="24"/>
          <w:szCs w:val="24"/>
          <w:lang w:val="en-US"/>
        </w:rPr>
        <w:t>in</w:t>
      </w:r>
      <w:r w:rsidRPr="00586CC0">
        <w:rPr>
          <w:rFonts w:ascii="Arial" w:hAnsi="Arial" w:cs="Arial"/>
          <w:sz w:val="24"/>
          <w:szCs w:val="24"/>
          <w:lang w:val="en-US"/>
        </w:rPr>
        <w:t xml:space="preserve"> July 2017 recommended a rate based on $46</w:t>
      </w:r>
      <w:r>
        <w:rPr>
          <w:rFonts w:ascii="Arial" w:hAnsi="Arial" w:cs="Arial"/>
          <w:sz w:val="24"/>
          <w:szCs w:val="24"/>
          <w:lang w:val="en-US"/>
        </w:rPr>
        <w:t>p/m</w:t>
      </w:r>
      <w:r w:rsidRPr="00E37783">
        <w:rPr>
          <w:rFonts w:ascii="Arial" w:hAnsi="Arial" w:cs="Arial"/>
          <w:sz w:val="24"/>
          <w:szCs w:val="24"/>
          <w:vertAlign w:val="superscript"/>
          <w:lang w:val="en-US"/>
        </w:rPr>
        <w:t>2</w:t>
      </w:r>
      <w:r w:rsidRPr="00586CC0">
        <w:rPr>
          <w:rFonts w:ascii="Arial" w:hAnsi="Arial" w:cs="Arial"/>
          <w:sz w:val="24"/>
          <w:szCs w:val="24"/>
          <w:lang w:val="en-US"/>
        </w:rPr>
        <w:t xml:space="preserve"> to $100</w:t>
      </w:r>
      <w:r>
        <w:rPr>
          <w:rFonts w:ascii="Arial" w:hAnsi="Arial" w:cs="Arial"/>
          <w:sz w:val="24"/>
          <w:szCs w:val="24"/>
          <w:lang w:val="en-US"/>
        </w:rPr>
        <w:t>p/m</w:t>
      </w:r>
      <w:r w:rsidRPr="00E37783">
        <w:rPr>
          <w:rFonts w:ascii="Arial" w:hAnsi="Arial" w:cs="Arial"/>
          <w:sz w:val="24"/>
          <w:szCs w:val="24"/>
          <w:vertAlign w:val="superscript"/>
          <w:lang w:val="en-US"/>
        </w:rPr>
        <w:t>2</w:t>
      </w:r>
      <w:r>
        <w:rPr>
          <w:rFonts w:ascii="Arial" w:hAnsi="Arial" w:cs="Arial"/>
          <w:sz w:val="24"/>
          <w:szCs w:val="24"/>
          <w:lang w:val="en-US"/>
        </w:rPr>
        <w:t xml:space="preserve"> per annum</w:t>
      </w:r>
      <w:r w:rsidRPr="00586CC0">
        <w:rPr>
          <w:rFonts w:ascii="Arial" w:hAnsi="Arial" w:cs="Arial"/>
          <w:sz w:val="24"/>
          <w:szCs w:val="24"/>
          <w:lang w:val="en-US"/>
        </w:rPr>
        <w:t xml:space="preserve"> plus Outgoings and GST</w:t>
      </w:r>
      <w:r>
        <w:rPr>
          <w:rFonts w:ascii="Arial" w:hAnsi="Arial" w:cs="Arial"/>
          <w:sz w:val="24"/>
          <w:szCs w:val="24"/>
          <w:lang w:val="en-US"/>
        </w:rPr>
        <w:t>.  W</w:t>
      </w:r>
      <w:r w:rsidRPr="00586CC0">
        <w:rPr>
          <w:rFonts w:ascii="Arial" w:hAnsi="Arial" w:cs="Arial"/>
          <w:sz w:val="24"/>
          <w:szCs w:val="24"/>
          <w:lang w:val="en-US"/>
        </w:rPr>
        <w:t xml:space="preserve">hen applied to </w:t>
      </w:r>
      <w:r>
        <w:rPr>
          <w:rFonts w:ascii="Arial" w:hAnsi="Arial" w:cs="Arial"/>
          <w:sz w:val="24"/>
          <w:szCs w:val="24"/>
          <w:lang w:val="en-US"/>
        </w:rPr>
        <w:t xml:space="preserve">the whole Tawarri site, having an </w:t>
      </w:r>
      <w:r w:rsidRPr="00586CC0">
        <w:rPr>
          <w:rFonts w:ascii="Arial" w:hAnsi="Arial" w:cs="Arial"/>
          <w:sz w:val="24"/>
          <w:szCs w:val="24"/>
          <w:lang w:val="en-US"/>
        </w:rPr>
        <w:t>area of 5</w:t>
      </w:r>
      <w:r>
        <w:rPr>
          <w:rFonts w:ascii="Arial" w:hAnsi="Arial" w:cs="Arial"/>
          <w:sz w:val="24"/>
          <w:szCs w:val="24"/>
          <w:lang w:val="en-US"/>
        </w:rPr>
        <w:t>,</w:t>
      </w:r>
      <w:r w:rsidRPr="00586CC0">
        <w:rPr>
          <w:rFonts w:ascii="Arial" w:hAnsi="Arial" w:cs="Arial"/>
          <w:sz w:val="24"/>
          <w:szCs w:val="24"/>
          <w:lang w:val="en-US"/>
        </w:rPr>
        <w:t>553m</w:t>
      </w:r>
      <w:r w:rsidRPr="00E37783">
        <w:rPr>
          <w:rFonts w:ascii="Arial" w:hAnsi="Arial" w:cs="Arial"/>
          <w:sz w:val="24"/>
          <w:szCs w:val="24"/>
          <w:vertAlign w:val="superscript"/>
          <w:lang w:val="en-US"/>
        </w:rPr>
        <w:t>2</w:t>
      </w:r>
      <w:r>
        <w:rPr>
          <w:rFonts w:ascii="Arial" w:hAnsi="Arial" w:cs="Arial"/>
          <w:sz w:val="24"/>
          <w:szCs w:val="24"/>
          <w:lang w:val="en-US"/>
        </w:rPr>
        <w:t xml:space="preserve">, this </w:t>
      </w:r>
      <w:r w:rsidRPr="00586CC0">
        <w:rPr>
          <w:rFonts w:ascii="Arial" w:hAnsi="Arial" w:cs="Arial"/>
          <w:sz w:val="24"/>
          <w:szCs w:val="24"/>
          <w:lang w:val="en-US"/>
        </w:rPr>
        <w:t xml:space="preserve">equated to rental range of $255,438 to $555,300 </w:t>
      </w:r>
      <w:r>
        <w:rPr>
          <w:rFonts w:ascii="Arial" w:hAnsi="Arial" w:cs="Arial"/>
          <w:sz w:val="24"/>
          <w:szCs w:val="24"/>
          <w:lang w:val="en-US"/>
        </w:rPr>
        <w:t>per annum</w:t>
      </w:r>
      <w:r w:rsidRPr="00586CC0">
        <w:rPr>
          <w:rFonts w:ascii="Arial" w:hAnsi="Arial" w:cs="Arial"/>
          <w:sz w:val="24"/>
          <w:szCs w:val="24"/>
          <w:lang w:val="en-US"/>
        </w:rPr>
        <w:t xml:space="preserve"> plus Outgoings and GST. A subsequent valuation from </w:t>
      </w:r>
      <w:r>
        <w:rPr>
          <w:rFonts w:ascii="Arial" w:hAnsi="Arial" w:cs="Arial"/>
          <w:sz w:val="24"/>
          <w:szCs w:val="24"/>
          <w:lang w:val="en-US"/>
        </w:rPr>
        <w:t xml:space="preserve">an independent commercial valuer, </w:t>
      </w:r>
      <w:proofErr w:type="spellStart"/>
      <w:r w:rsidRPr="00586CC0">
        <w:rPr>
          <w:rFonts w:ascii="Arial" w:hAnsi="Arial" w:cs="Arial"/>
          <w:sz w:val="24"/>
          <w:szCs w:val="24"/>
          <w:lang w:val="en-US"/>
        </w:rPr>
        <w:t>McGees</w:t>
      </w:r>
      <w:proofErr w:type="spellEnd"/>
      <w:r w:rsidRPr="00586CC0">
        <w:rPr>
          <w:rFonts w:ascii="Arial" w:hAnsi="Arial" w:cs="Arial"/>
          <w:sz w:val="24"/>
          <w:szCs w:val="24"/>
          <w:lang w:val="en-US"/>
        </w:rPr>
        <w:t xml:space="preserve"> in August 2018</w:t>
      </w:r>
      <w:r>
        <w:rPr>
          <w:rFonts w:ascii="Arial" w:hAnsi="Arial" w:cs="Arial"/>
          <w:sz w:val="24"/>
          <w:szCs w:val="24"/>
          <w:lang w:val="en-US"/>
        </w:rPr>
        <w:t>,</w:t>
      </w:r>
      <w:r w:rsidRPr="00586CC0">
        <w:rPr>
          <w:rFonts w:ascii="Arial" w:hAnsi="Arial" w:cs="Arial"/>
          <w:sz w:val="24"/>
          <w:szCs w:val="24"/>
          <w:lang w:val="en-US"/>
        </w:rPr>
        <w:t xml:space="preserve"> suggested a </w:t>
      </w:r>
      <w:r>
        <w:rPr>
          <w:rFonts w:ascii="Arial" w:hAnsi="Arial" w:cs="Arial"/>
          <w:sz w:val="24"/>
          <w:szCs w:val="24"/>
          <w:lang w:val="en-US"/>
        </w:rPr>
        <w:t xml:space="preserve">market rent </w:t>
      </w:r>
      <w:r w:rsidRPr="00586CC0">
        <w:rPr>
          <w:rFonts w:ascii="Arial" w:hAnsi="Arial" w:cs="Arial"/>
          <w:sz w:val="24"/>
          <w:szCs w:val="24"/>
          <w:lang w:val="en-US"/>
        </w:rPr>
        <w:t>valuation</w:t>
      </w:r>
      <w:r>
        <w:rPr>
          <w:rFonts w:ascii="Arial" w:hAnsi="Arial" w:cs="Arial"/>
          <w:sz w:val="24"/>
          <w:szCs w:val="24"/>
          <w:lang w:val="en-US"/>
        </w:rPr>
        <w:t xml:space="preserve"> </w:t>
      </w:r>
      <w:r w:rsidRPr="00586CC0">
        <w:rPr>
          <w:rFonts w:ascii="Arial" w:hAnsi="Arial" w:cs="Arial"/>
          <w:sz w:val="24"/>
          <w:szCs w:val="24"/>
          <w:lang w:val="en-US"/>
        </w:rPr>
        <w:t xml:space="preserve">of $260,000 </w:t>
      </w:r>
      <w:r>
        <w:rPr>
          <w:rFonts w:ascii="Arial" w:hAnsi="Arial" w:cs="Arial"/>
          <w:sz w:val="24"/>
          <w:szCs w:val="24"/>
          <w:lang w:val="en-US"/>
        </w:rPr>
        <w:t>per annum for the whole site,</w:t>
      </w:r>
      <w:r w:rsidRPr="00586CC0">
        <w:rPr>
          <w:rFonts w:ascii="Arial" w:hAnsi="Arial" w:cs="Arial"/>
          <w:sz w:val="24"/>
          <w:szCs w:val="24"/>
          <w:lang w:val="en-US"/>
        </w:rPr>
        <w:t xml:space="preserve"> plus </w:t>
      </w:r>
      <w:r>
        <w:rPr>
          <w:rFonts w:ascii="Arial" w:hAnsi="Arial" w:cs="Arial"/>
          <w:sz w:val="24"/>
          <w:szCs w:val="24"/>
          <w:lang w:val="en-US"/>
        </w:rPr>
        <w:t>O</w:t>
      </w:r>
      <w:r w:rsidRPr="00586CC0">
        <w:rPr>
          <w:rFonts w:ascii="Arial" w:hAnsi="Arial" w:cs="Arial"/>
          <w:sz w:val="24"/>
          <w:szCs w:val="24"/>
          <w:lang w:val="en-US"/>
        </w:rPr>
        <w:t>utgoings and GST.</w:t>
      </w:r>
    </w:p>
    <w:p w14:paraId="14EDA04A" w14:textId="77777777" w:rsidR="00962F08" w:rsidRPr="00586CC0" w:rsidRDefault="00962F08" w:rsidP="00962F08">
      <w:pPr>
        <w:spacing w:after="0" w:line="240" w:lineRule="auto"/>
        <w:jc w:val="both"/>
        <w:rPr>
          <w:rFonts w:ascii="Arial" w:hAnsi="Arial" w:cs="Arial"/>
          <w:sz w:val="24"/>
          <w:szCs w:val="24"/>
          <w:lang w:val="en-US"/>
        </w:rPr>
      </w:pPr>
    </w:p>
    <w:p w14:paraId="7B2AF6F1"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One of the </w:t>
      </w:r>
      <w:r>
        <w:rPr>
          <w:rFonts w:ascii="Arial" w:hAnsi="Arial" w:cs="Arial"/>
          <w:sz w:val="24"/>
          <w:szCs w:val="24"/>
          <w:lang w:val="en-US"/>
        </w:rPr>
        <w:t>challenges in determining a market rent valuation</w:t>
      </w:r>
      <w:r w:rsidRPr="00586CC0">
        <w:rPr>
          <w:rFonts w:ascii="Arial" w:hAnsi="Arial" w:cs="Arial"/>
          <w:sz w:val="24"/>
          <w:szCs w:val="24"/>
          <w:lang w:val="en-US"/>
        </w:rPr>
        <w:t xml:space="preserve"> has been identifying sites which are directly comparable to Tawarri in terms of</w:t>
      </w:r>
      <w:r>
        <w:rPr>
          <w:rFonts w:ascii="Arial" w:hAnsi="Arial" w:cs="Arial"/>
          <w:sz w:val="24"/>
          <w:szCs w:val="24"/>
          <w:lang w:val="en-US"/>
        </w:rPr>
        <w:t xml:space="preserve"> purpose,</w:t>
      </w:r>
      <w:r w:rsidRPr="00586CC0">
        <w:rPr>
          <w:rFonts w:ascii="Arial" w:hAnsi="Arial" w:cs="Arial"/>
          <w:sz w:val="24"/>
          <w:szCs w:val="24"/>
          <w:lang w:val="en-US"/>
        </w:rPr>
        <w:t xml:space="preserve"> size, location, zoning and existing infrastructure including carparking.</w:t>
      </w:r>
    </w:p>
    <w:p w14:paraId="3A50875E" w14:textId="77777777" w:rsidR="00962F08" w:rsidRPr="00586CC0" w:rsidRDefault="00962F08" w:rsidP="00962F08">
      <w:pPr>
        <w:spacing w:after="0" w:line="240" w:lineRule="auto"/>
        <w:jc w:val="both"/>
        <w:rPr>
          <w:rFonts w:ascii="Arial" w:hAnsi="Arial" w:cs="Arial"/>
          <w:sz w:val="24"/>
          <w:szCs w:val="24"/>
          <w:lang w:val="en-US"/>
        </w:rPr>
      </w:pPr>
    </w:p>
    <w:p w14:paraId="3E65F8E4"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complexity of this project has meant that there have been detailed discussions of the key financial terms which are now </w:t>
      </w:r>
      <w:r>
        <w:rPr>
          <w:rFonts w:ascii="Arial" w:hAnsi="Arial" w:cs="Arial"/>
          <w:sz w:val="24"/>
          <w:szCs w:val="24"/>
          <w:lang w:val="en-US"/>
        </w:rPr>
        <w:t>before Council and</w:t>
      </w:r>
      <w:r w:rsidRPr="00586CC0">
        <w:rPr>
          <w:rFonts w:ascii="Arial" w:hAnsi="Arial" w:cs="Arial"/>
          <w:sz w:val="24"/>
          <w:szCs w:val="24"/>
          <w:lang w:val="en-US"/>
        </w:rPr>
        <w:t xml:space="preserve"> subject to the City’s and the </w:t>
      </w:r>
      <w:r>
        <w:rPr>
          <w:rFonts w:ascii="Arial" w:hAnsi="Arial" w:cs="Arial"/>
          <w:sz w:val="24"/>
          <w:szCs w:val="24"/>
          <w:lang w:val="en-US"/>
        </w:rPr>
        <w:t>DLPH</w:t>
      </w:r>
      <w:r w:rsidRPr="00586CC0">
        <w:rPr>
          <w:rFonts w:ascii="Arial" w:hAnsi="Arial" w:cs="Arial"/>
          <w:sz w:val="24"/>
          <w:szCs w:val="24"/>
          <w:lang w:val="en-US"/>
        </w:rPr>
        <w:t xml:space="preserve"> approval</w:t>
      </w:r>
      <w:r>
        <w:rPr>
          <w:rFonts w:ascii="Arial" w:hAnsi="Arial" w:cs="Arial"/>
          <w:sz w:val="24"/>
          <w:szCs w:val="24"/>
          <w:lang w:val="en-US"/>
        </w:rPr>
        <w:t>.  With the HOA approved this will</w:t>
      </w:r>
      <w:r w:rsidRPr="00586CC0">
        <w:rPr>
          <w:rFonts w:ascii="Arial" w:hAnsi="Arial" w:cs="Arial"/>
          <w:sz w:val="24"/>
          <w:szCs w:val="24"/>
          <w:lang w:val="en-US"/>
        </w:rPr>
        <w:t xml:space="preserve"> allow further consideration of other aspects and enable the parties to move to agree an Agreement for </w:t>
      </w:r>
      <w:proofErr w:type="spellStart"/>
      <w:r>
        <w:rPr>
          <w:rFonts w:ascii="Arial" w:hAnsi="Arial" w:cs="Arial"/>
          <w:sz w:val="24"/>
          <w:szCs w:val="24"/>
          <w:lang w:val="en-US"/>
        </w:rPr>
        <w:t>Sub</w:t>
      </w:r>
      <w:r w:rsidRPr="00586CC0">
        <w:rPr>
          <w:rFonts w:ascii="Arial" w:hAnsi="Arial" w:cs="Arial"/>
          <w:sz w:val="24"/>
          <w:szCs w:val="24"/>
          <w:lang w:val="en-US"/>
        </w:rPr>
        <w:t>Lease</w:t>
      </w:r>
      <w:proofErr w:type="spellEnd"/>
      <w:r w:rsidRPr="00586CC0">
        <w:rPr>
          <w:rFonts w:ascii="Arial" w:hAnsi="Arial" w:cs="Arial"/>
          <w:sz w:val="24"/>
          <w:szCs w:val="24"/>
          <w:lang w:val="en-US"/>
        </w:rPr>
        <w:t xml:space="preserve"> with </w:t>
      </w:r>
      <w:proofErr w:type="spellStart"/>
      <w:r>
        <w:rPr>
          <w:rFonts w:ascii="Arial" w:hAnsi="Arial" w:cs="Arial"/>
          <w:sz w:val="24"/>
          <w:szCs w:val="24"/>
          <w:lang w:val="en-US"/>
        </w:rPr>
        <w:t>Sub</w:t>
      </w:r>
      <w:r w:rsidRPr="00586CC0">
        <w:rPr>
          <w:rFonts w:ascii="Arial" w:hAnsi="Arial" w:cs="Arial"/>
          <w:sz w:val="24"/>
          <w:szCs w:val="24"/>
          <w:lang w:val="en-US"/>
        </w:rPr>
        <w:t>Lease</w:t>
      </w:r>
      <w:proofErr w:type="spellEnd"/>
      <w:r w:rsidRPr="00586CC0">
        <w:rPr>
          <w:rFonts w:ascii="Arial" w:hAnsi="Arial" w:cs="Arial"/>
          <w:sz w:val="24"/>
          <w:szCs w:val="24"/>
          <w:lang w:val="en-US"/>
        </w:rPr>
        <w:t xml:space="preserve"> attached to bind the parties into a formal agreement.</w:t>
      </w:r>
    </w:p>
    <w:p w14:paraId="690A1133" w14:textId="77777777" w:rsidR="00962F08" w:rsidRPr="00586CC0" w:rsidRDefault="00962F08" w:rsidP="00962F08">
      <w:pPr>
        <w:spacing w:after="0" w:line="240" w:lineRule="auto"/>
        <w:jc w:val="both"/>
        <w:rPr>
          <w:rFonts w:ascii="Arial" w:hAnsi="Arial" w:cs="Arial"/>
          <w:sz w:val="24"/>
          <w:szCs w:val="24"/>
          <w:lang w:val="en-US"/>
        </w:rPr>
      </w:pPr>
    </w:p>
    <w:p w14:paraId="4242D194" w14:textId="42136796"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w:t>
      </w:r>
      <w:r>
        <w:rPr>
          <w:rFonts w:ascii="Arial" w:hAnsi="Arial" w:cs="Arial"/>
          <w:sz w:val="24"/>
          <w:szCs w:val="24"/>
          <w:lang w:val="en-US"/>
        </w:rPr>
        <w:t>HOA</w:t>
      </w:r>
      <w:r w:rsidRPr="00586CC0">
        <w:rPr>
          <w:rFonts w:ascii="Arial" w:hAnsi="Arial" w:cs="Arial"/>
          <w:sz w:val="24"/>
          <w:szCs w:val="24"/>
          <w:lang w:val="en-US"/>
        </w:rPr>
        <w:t xml:space="preserve"> is </w:t>
      </w:r>
      <w:r>
        <w:rPr>
          <w:rFonts w:ascii="Arial" w:hAnsi="Arial" w:cs="Arial"/>
          <w:sz w:val="24"/>
          <w:szCs w:val="24"/>
          <w:lang w:val="en-US"/>
        </w:rPr>
        <w:t>provided</w:t>
      </w:r>
      <w:r w:rsidRPr="00586CC0">
        <w:rPr>
          <w:rFonts w:ascii="Arial" w:hAnsi="Arial" w:cs="Arial"/>
          <w:sz w:val="24"/>
          <w:szCs w:val="24"/>
          <w:lang w:val="en-US"/>
        </w:rPr>
        <w:t xml:space="preserve"> in </w:t>
      </w:r>
      <w:r w:rsidR="00B57C1C">
        <w:rPr>
          <w:rFonts w:ascii="Arial" w:hAnsi="Arial" w:cs="Arial"/>
          <w:sz w:val="24"/>
          <w:szCs w:val="24"/>
          <w:lang w:val="en-US"/>
        </w:rPr>
        <w:t xml:space="preserve">Confidential </w:t>
      </w:r>
      <w:r w:rsidRPr="003B6824">
        <w:rPr>
          <w:rFonts w:ascii="Arial" w:hAnsi="Arial" w:cs="Arial"/>
          <w:sz w:val="24"/>
          <w:szCs w:val="24"/>
          <w:lang w:val="en-US"/>
        </w:rPr>
        <w:t xml:space="preserve">Attachment </w:t>
      </w:r>
      <w:r>
        <w:rPr>
          <w:rFonts w:ascii="Arial" w:hAnsi="Arial" w:cs="Arial"/>
          <w:sz w:val="24"/>
          <w:szCs w:val="24"/>
          <w:lang w:val="en-US"/>
        </w:rPr>
        <w:t>1</w:t>
      </w:r>
      <w:r w:rsidRPr="003B6824">
        <w:rPr>
          <w:rFonts w:ascii="Arial" w:hAnsi="Arial" w:cs="Arial"/>
          <w:sz w:val="24"/>
          <w:szCs w:val="24"/>
          <w:lang w:val="en-US"/>
        </w:rPr>
        <w:t xml:space="preserve">. </w:t>
      </w:r>
    </w:p>
    <w:p w14:paraId="186F04DE" w14:textId="77777777" w:rsidR="00962F08" w:rsidRDefault="00962F08" w:rsidP="00962F08">
      <w:pPr>
        <w:spacing w:after="0" w:line="240" w:lineRule="auto"/>
        <w:jc w:val="both"/>
        <w:rPr>
          <w:rFonts w:ascii="Arial" w:hAnsi="Arial" w:cs="Arial"/>
          <w:sz w:val="24"/>
          <w:szCs w:val="24"/>
          <w:lang w:val="en-US"/>
        </w:rPr>
      </w:pPr>
    </w:p>
    <w:p w14:paraId="761A73EA" w14:textId="34151AB2" w:rsidR="00962F08" w:rsidRDefault="00962F08" w:rsidP="00962F08">
      <w:pPr>
        <w:spacing w:after="0" w:line="240" w:lineRule="auto"/>
        <w:jc w:val="both"/>
        <w:rPr>
          <w:rFonts w:ascii="Arial" w:hAnsi="Arial" w:cs="Arial"/>
          <w:sz w:val="24"/>
          <w:szCs w:val="24"/>
          <w:lang w:val="en-US"/>
        </w:rPr>
      </w:pPr>
      <w:r>
        <w:rPr>
          <w:rFonts w:ascii="Arial" w:hAnsi="Arial" w:cs="Arial"/>
          <w:sz w:val="24"/>
          <w:szCs w:val="24"/>
          <w:lang w:val="en-US"/>
        </w:rPr>
        <w:t xml:space="preserve">The draft financial due </w:t>
      </w:r>
      <w:proofErr w:type="spellStart"/>
      <w:r>
        <w:rPr>
          <w:rFonts w:ascii="Arial" w:hAnsi="Arial" w:cs="Arial"/>
          <w:sz w:val="24"/>
          <w:szCs w:val="24"/>
          <w:lang w:val="en-US"/>
        </w:rPr>
        <w:t>diligience</w:t>
      </w:r>
      <w:proofErr w:type="spellEnd"/>
      <w:r>
        <w:rPr>
          <w:rFonts w:ascii="Arial" w:hAnsi="Arial" w:cs="Arial"/>
          <w:sz w:val="24"/>
          <w:szCs w:val="24"/>
          <w:lang w:val="en-US"/>
        </w:rPr>
        <w:t xml:space="preserve"> report is provided in </w:t>
      </w:r>
      <w:r w:rsidR="00B57C1C">
        <w:rPr>
          <w:rFonts w:ascii="Arial" w:hAnsi="Arial" w:cs="Arial"/>
          <w:sz w:val="24"/>
          <w:szCs w:val="24"/>
          <w:lang w:val="en-US"/>
        </w:rPr>
        <w:t xml:space="preserve">Confidential </w:t>
      </w:r>
      <w:r>
        <w:rPr>
          <w:rFonts w:ascii="Arial" w:hAnsi="Arial" w:cs="Arial"/>
          <w:sz w:val="24"/>
          <w:szCs w:val="24"/>
          <w:lang w:val="en-US"/>
        </w:rPr>
        <w:t>Attachment 2.</w:t>
      </w:r>
    </w:p>
    <w:p w14:paraId="6FDDCBD8" w14:textId="77777777" w:rsidR="00962F08" w:rsidRDefault="00962F08" w:rsidP="00962F08">
      <w:pPr>
        <w:spacing w:after="0" w:line="240" w:lineRule="auto"/>
        <w:jc w:val="both"/>
        <w:rPr>
          <w:rFonts w:ascii="Arial" w:hAnsi="Arial" w:cs="Arial"/>
          <w:sz w:val="24"/>
          <w:szCs w:val="24"/>
          <w:lang w:val="en-US"/>
        </w:rPr>
      </w:pPr>
    </w:p>
    <w:p w14:paraId="2AE216C7" w14:textId="77777777" w:rsidR="00962F08" w:rsidRPr="003B0DF3" w:rsidRDefault="00962F08" w:rsidP="00962F08">
      <w:pPr>
        <w:spacing w:after="0" w:line="240" w:lineRule="auto"/>
        <w:jc w:val="both"/>
        <w:rPr>
          <w:rFonts w:ascii="Arial" w:hAnsi="Arial" w:cs="Arial"/>
          <w:b/>
          <w:bCs/>
          <w:sz w:val="24"/>
          <w:szCs w:val="24"/>
          <w:lang w:val="en-US"/>
        </w:rPr>
      </w:pPr>
      <w:r w:rsidRPr="003B0DF3">
        <w:rPr>
          <w:rFonts w:ascii="Arial" w:hAnsi="Arial" w:cs="Arial"/>
          <w:b/>
          <w:bCs/>
          <w:sz w:val="24"/>
          <w:szCs w:val="24"/>
          <w:lang w:val="en-US"/>
        </w:rPr>
        <w:t xml:space="preserve">Heads of Agreement Context </w:t>
      </w:r>
    </w:p>
    <w:p w14:paraId="3E90AD21" w14:textId="77777777" w:rsidR="00962F08" w:rsidRPr="00586CC0" w:rsidRDefault="00962F08" w:rsidP="00962F08">
      <w:pPr>
        <w:spacing w:after="0" w:line="240" w:lineRule="auto"/>
        <w:jc w:val="both"/>
        <w:rPr>
          <w:rFonts w:ascii="Arial" w:hAnsi="Arial" w:cs="Arial"/>
          <w:sz w:val="24"/>
          <w:szCs w:val="24"/>
          <w:lang w:val="en-US"/>
        </w:rPr>
      </w:pPr>
    </w:p>
    <w:p w14:paraId="4F4EA6DA"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Before discussing specific aspects of the HOA </w:t>
      </w:r>
      <w:r>
        <w:rPr>
          <w:rFonts w:ascii="Arial" w:hAnsi="Arial" w:cs="Arial"/>
          <w:sz w:val="24"/>
          <w:szCs w:val="24"/>
          <w:lang w:val="en-US"/>
        </w:rPr>
        <w:t xml:space="preserve">it </w:t>
      </w:r>
      <w:r w:rsidRPr="00586CC0">
        <w:rPr>
          <w:rFonts w:ascii="Arial" w:hAnsi="Arial" w:cs="Arial"/>
          <w:sz w:val="24"/>
          <w:szCs w:val="24"/>
          <w:lang w:val="en-US"/>
        </w:rPr>
        <w:t>is worthwhile considering the current economic conditions which provides a context in which to consider the negotiated terms.</w:t>
      </w:r>
    </w:p>
    <w:p w14:paraId="1763C733" w14:textId="77777777" w:rsidR="00962F08" w:rsidRPr="00586CC0" w:rsidRDefault="00962F08" w:rsidP="00962F08">
      <w:pPr>
        <w:spacing w:after="0" w:line="240" w:lineRule="auto"/>
        <w:jc w:val="both"/>
        <w:rPr>
          <w:rFonts w:ascii="Arial" w:hAnsi="Arial" w:cs="Arial"/>
          <w:sz w:val="24"/>
          <w:szCs w:val="24"/>
          <w:lang w:val="en-US"/>
        </w:rPr>
      </w:pPr>
    </w:p>
    <w:p w14:paraId="69DDA65F"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lastRenderedPageBreak/>
        <w:t xml:space="preserve">The WA economy has virtually been in recession over the past </w:t>
      </w:r>
      <w:r>
        <w:rPr>
          <w:rFonts w:ascii="Arial" w:hAnsi="Arial" w:cs="Arial"/>
          <w:sz w:val="24"/>
          <w:szCs w:val="24"/>
          <w:lang w:val="en-US"/>
        </w:rPr>
        <w:t>five</w:t>
      </w:r>
      <w:r w:rsidRPr="00586CC0">
        <w:rPr>
          <w:rFonts w:ascii="Arial" w:hAnsi="Arial" w:cs="Arial"/>
          <w:sz w:val="24"/>
          <w:szCs w:val="24"/>
          <w:lang w:val="en-US"/>
        </w:rPr>
        <w:t xml:space="preserve"> years and</w:t>
      </w:r>
      <w:r>
        <w:rPr>
          <w:rFonts w:ascii="Arial" w:hAnsi="Arial" w:cs="Arial"/>
          <w:sz w:val="24"/>
          <w:szCs w:val="24"/>
          <w:lang w:val="en-US"/>
        </w:rPr>
        <w:t>,</w:t>
      </w:r>
      <w:r w:rsidRPr="00586CC0">
        <w:rPr>
          <w:rFonts w:ascii="Arial" w:hAnsi="Arial" w:cs="Arial"/>
          <w:sz w:val="24"/>
          <w:szCs w:val="24"/>
          <w:lang w:val="en-US"/>
        </w:rPr>
        <w:t xml:space="preserve"> while things are starting to improve</w:t>
      </w:r>
      <w:r>
        <w:rPr>
          <w:rFonts w:ascii="Arial" w:hAnsi="Arial" w:cs="Arial"/>
          <w:sz w:val="24"/>
          <w:szCs w:val="24"/>
          <w:lang w:val="en-US"/>
        </w:rPr>
        <w:t>,</w:t>
      </w:r>
      <w:r w:rsidRPr="00586CC0">
        <w:rPr>
          <w:rFonts w:ascii="Arial" w:hAnsi="Arial" w:cs="Arial"/>
          <w:sz w:val="24"/>
          <w:szCs w:val="24"/>
          <w:lang w:val="en-US"/>
        </w:rPr>
        <w:t xml:space="preserve"> we are experiencing some very unusual economic conditions. The Reserve Bank is clearly concerned about the overall economic environment and this is reflected in the recent reductions of the Cash Rate with more cuts likely. This provides an economic </w:t>
      </w:r>
      <w:r>
        <w:rPr>
          <w:rFonts w:ascii="Arial" w:hAnsi="Arial" w:cs="Arial"/>
          <w:sz w:val="24"/>
          <w:szCs w:val="24"/>
          <w:lang w:val="en-US"/>
        </w:rPr>
        <w:t>climate</w:t>
      </w:r>
      <w:r w:rsidRPr="00586CC0">
        <w:rPr>
          <w:rFonts w:ascii="Arial" w:hAnsi="Arial" w:cs="Arial"/>
          <w:sz w:val="24"/>
          <w:szCs w:val="24"/>
          <w:lang w:val="en-US"/>
        </w:rPr>
        <w:t xml:space="preserve"> that we have not seen before.</w:t>
      </w:r>
    </w:p>
    <w:p w14:paraId="77448936" w14:textId="77777777" w:rsidR="00962F08" w:rsidRPr="00586CC0" w:rsidRDefault="00962F08" w:rsidP="00962F08">
      <w:pPr>
        <w:spacing w:after="0" w:line="240" w:lineRule="auto"/>
        <w:jc w:val="both"/>
        <w:rPr>
          <w:rFonts w:ascii="Arial" w:hAnsi="Arial" w:cs="Arial"/>
          <w:sz w:val="24"/>
          <w:szCs w:val="24"/>
          <w:lang w:val="en-US"/>
        </w:rPr>
      </w:pPr>
    </w:p>
    <w:p w14:paraId="1B50E2BE"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The housing market in WA has experienced a significant contraction with median house values dropping significantly.</w:t>
      </w:r>
    </w:p>
    <w:p w14:paraId="09174BE6" w14:textId="77777777" w:rsidR="00962F08" w:rsidRPr="00586CC0" w:rsidRDefault="00962F08" w:rsidP="00962F08">
      <w:pPr>
        <w:spacing w:after="0" w:line="240" w:lineRule="auto"/>
        <w:jc w:val="both"/>
        <w:rPr>
          <w:rFonts w:ascii="Arial" w:hAnsi="Arial" w:cs="Arial"/>
          <w:sz w:val="24"/>
          <w:szCs w:val="24"/>
          <w:lang w:val="en-US"/>
        </w:rPr>
      </w:pPr>
    </w:p>
    <w:p w14:paraId="5DC764DC"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current rate of population growth in WA at less than 1% </w:t>
      </w:r>
      <w:r>
        <w:rPr>
          <w:rFonts w:ascii="Arial" w:hAnsi="Arial" w:cs="Arial"/>
          <w:sz w:val="24"/>
          <w:szCs w:val="24"/>
          <w:lang w:val="en-US"/>
        </w:rPr>
        <w:t>per annum</w:t>
      </w:r>
      <w:r w:rsidRPr="00586CC0">
        <w:rPr>
          <w:rFonts w:ascii="Arial" w:hAnsi="Arial" w:cs="Arial"/>
          <w:sz w:val="24"/>
          <w:szCs w:val="24"/>
          <w:lang w:val="en-US"/>
        </w:rPr>
        <w:t xml:space="preserve"> (0.9% Dec</w:t>
      </w:r>
      <w:r>
        <w:rPr>
          <w:rFonts w:ascii="Arial" w:hAnsi="Arial" w:cs="Arial"/>
          <w:sz w:val="24"/>
          <w:szCs w:val="24"/>
          <w:lang w:val="en-US"/>
        </w:rPr>
        <w:t>ember</w:t>
      </w:r>
      <w:r w:rsidRPr="00586CC0">
        <w:rPr>
          <w:rFonts w:ascii="Arial" w:hAnsi="Arial" w:cs="Arial"/>
          <w:sz w:val="24"/>
          <w:szCs w:val="24"/>
          <w:lang w:val="en-US"/>
        </w:rPr>
        <w:t xml:space="preserve"> 18) is the lowest it has been for many years and while this is now slowly building is it well off the peak of </w:t>
      </w:r>
      <w:r>
        <w:rPr>
          <w:rFonts w:ascii="Arial" w:hAnsi="Arial" w:cs="Arial"/>
          <w:sz w:val="24"/>
          <w:szCs w:val="24"/>
          <w:lang w:val="en-US"/>
        </w:rPr>
        <w:t xml:space="preserve">the </w:t>
      </w:r>
      <w:r w:rsidRPr="00586CC0">
        <w:rPr>
          <w:rFonts w:ascii="Arial" w:hAnsi="Arial" w:cs="Arial"/>
          <w:sz w:val="24"/>
          <w:szCs w:val="24"/>
          <w:lang w:val="en-US"/>
        </w:rPr>
        <w:t xml:space="preserve">3.5% </w:t>
      </w:r>
      <w:r>
        <w:rPr>
          <w:rFonts w:ascii="Arial" w:hAnsi="Arial" w:cs="Arial"/>
          <w:sz w:val="24"/>
          <w:szCs w:val="24"/>
          <w:lang w:val="en-US"/>
        </w:rPr>
        <w:t>per annum</w:t>
      </w:r>
      <w:r w:rsidRPr="00586CC0">
        <w:rPr>
          <w:rFonts w:ascii="Arial" w:hAnsi="Arial" w:cs="Arial"/>
          <w:sz w:val="24"/>
          <w:szCs w:val="24"/>
          <w:lang w:val="en-US"/>
        </w:rPr>
        <w:t xml:space="preserve"> growth </w:t>
      </w:r>
      <w:r>
        <w:rPr>
          <w:rFonts w:ascii="Arial" w:hAnsi="Arial" w:cs="Arial"/>
          <w:sz w:val="24"/>
          <w:szCs w:val="24"/>
          <w:lang w:val="en-US"/>
        </w:rPr>
        <w:t xml:space="preserve">seen </w:t>
      </w:r>
      <w:r w:rsidRPr="00586CC0">
        <w:rPr>
          <w:rFonts w:ascii="Arial" w:hAnsi="Arial" w:cs="Arial"/>
          <w:sz w:val="24"/>
          <w:szCs w:val="24"/>
          <w:lang w:val="en-US"/>
        </w:rPr>
        <w:t xml:space="preserve">during the </w:t>
      </w:r>
      <w:r>
        <w:rPr>
          <w:rFonts w:ascii="Arial" w:hAnsi="Arial" w:cs="Arial"/>
          <w:sz w:val="24"/>
          <w:szCs w:val="24"/>
          <w:lang w:val="en-US"/>
        </w:rPr>
        <w:t>‘</w:t>
      </w:r>
      <w:r w:rsidRPr="00586CC0">
        <w:rPr>
          <w:rFonts w:ascii="Arial" w:hAnsi="Arial" w:cs="Arial"/>
          <w:sz w:val="24"/>
          <w:szCs w:val="24"/>
          <w:lang w:val="en-US"/>
        </w:rPr>
        <w:t>boom</w:t>
      </w:r>
      <w:r>
        <w:rPr>
          <w:rFonts w:ascii="Arial" w:hAnsi="Arial" w:cs="Arial"/>
          <w:sz w:val="24"/>
          <w:szCs w:val="24"/>
          <w:lang w:val="en-US"/>
        </w:rPr>
        <w:t>’</w:t>
      </w:r>
      <w:r w:rsidRPr="00586CC0">
        <w:rPr>
          <w:rFonts w:ascii="Arial" w:hAnsi="Arial" w:cs="Arial"/>
          <w:sz w:val="24"/>
          <w:szCs w:val="24"/>
          <w:lang w:val="en-US"/>
        </w:rPr>
        <w:t>. Net overseas migration</w:t>
      </w:r>
      <w:r>
        <w:rPr>
          <w:rFonts w:ascii="Arial" w:hAnsi="Arial" w:cs="Arial"/>
          <w:sz w:val="24"/>
          <w:szCs w:val="24"/>
          <w:lang w:val="en-US"/>
        </w:rPr>
        <w:t>,</w:t>
      </w:r>
      <w:r w:rsidRPr="00586CC0">
        <w:rPr>
          <w:rFonts w:ascii="Arial" w:hAnsi="Arial" w:cs="Arial"/>
          <w:sz w:val="24"/>
          <w:szCs w:val="24"/>
          <w:lang w:val="en-US"/>
        </w:rPr>
        <w:t xml:space="preserve"> while still positive (+ 14,863 Dec 18)</w:t>
      </w:r>
      <w:r>
        <w:rPr>
          <w:rFonts w:ascii="Arial" w:hAnsi="Arial" w:cs="Arial"/>
          <w:sz w:val="24"/>
          <w:szCs w:val="24"/>
          <w:lang w:val="en-US"/>
        </w:rPr>
        <w:t xml:space="preserve">, </w:t>
      </w:r>
      <w:r w:rsidRPr="00586CC0">
        <w:rPr>
          <w:rFonts w:ascii="Arial" w:hAnsi="Arial" w:cs="Arial"/>
          <w:sz w:val="24"/>
          <w:szCs w:val="24"/>
          <w:lang w:val="en-US"/>
        </w:rPr>
        <w:t>has dropped significantly from the boom and interstate net migration is negative (9,503 Dec 18) which is very unusual for WA.</w:t>
      </w:r>
    </w:p>
    <w:p w14:paraId="45752F80" w14:textId="77777777" w:rsidR="00962F08" w:rsidRPr="00586CC0" w:rsidRDefault="00962F08" w:rsidP="00962F08">
      <w:pPr>
        <w:spacing w:after="0" w:line="240" w:lineRule="auto"/>
        <w:jc w:val="both"/>
        <w:rPr>
          <w:rFonts w:ascii="Arial" w:hAnsi="Arial" w:cs="Arial"/>
          <w:sz w:val="24"/>
          <w:szCs w:val="24"/>
          <w:lang w:val="en-US"/>
        </w:rPr>
      </w:pPr>
    </w:p>
    <w:p w14:paraId="3BAC2AB3"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The flow on effects of these factors to the Retail Sector have been well documented and it’s unlikely that there will be significant recovery in Retail spending until population and job growth return to more typical levels and until the restoration of confidence in the housing sector.</w:t>
      </w:r>
    </w:p>
    <w:p w14:paraId="56EEEFC4" w14:textId="77777777" w:rsidR="00962F08" w:rsidRPr="00586CC0" w:rsidRDefault="00962F08" w:rsidP="00962F08">
      <w:pPr>
        <w:spacing w:after="0" w:line="240" w:lineRule="auto"/>
        <w:jc w:val="both"/>
        <w:rPr>
          <w:rFonts w:ascii="Arial" w:hAnsi="Arial" w:cs="Arial"/>
          <w:sz w:val="24"/>
          <w:szCs w:val="24"/>
          <w:lang w:val="en-US"/>
        </w:rPr>
      </w:pPr>
    </w:p>
    <w:p w14:paraId="27710AC5"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Weighing against these factors are some recent positive signs as a result of the Federal Coalition</w:t>
      </w:r>
      <w:r>
        <w:rPr>
          <w:rFonts w:ascii="Arial" w:hAnsi="Arial" w:cs="Arial"/>
          <w:sz w:val="24"/>
          <w:szCs w:val="24"/>
          <w:lang w:val="en-US"/>
        </w:rPr>
        <w:t>’</w:t>
      </w:r>
      <w:r w:rsidRPr="00586CC0">
        <w:rPr>
          <w:rFonts w:ascii="Arial" w:hAnsi="Arial" w:cs="Arial"/>
          <w:sz w:val="24"/>
          <w:szCs w:val="24"/>
          <w:lang w:val="en-US"/>
        </w:rPr>
        <w:t>s re</w:t>
      </w:r>
      <w:r>
        <w:rPr>
          <w:rFonts w:ascii="Arial" w:hAnsi="Arial" w:cs="Arial"/>
          <w:sz w:val="24"/>
          <w:szCs w:val="24"/>
          <w:lang w:val="en-US"/>
        </w:rPr>
        <w:t>-</w:t>
      </w:r>
      <w:r w:rsidRPr="00586CC0">
        <w:rPr>
          <w:rFonts w:ascii="Arial" w:hAnsi="Arial" w:cs="Arial"/>
          <w:sz w:val="24"/>
          <w:szCs w:val="24"/>
          <w:lang w:val="en-US"/>
        </w:rPr>
        <w:t>election and the implementation of personal tax cuts which combined with the lowering of interest rates means that the prospects for growth are improving.</w:t>
      </w:r>
    </w:p>
    <w:p w14:paraId="36B6F5DE" w14:textId="77777777" w:rsidR="00962F08" w:rsidRPr="00586CC0" w:rsidRDefault="00962F08" w:rsidP="00962F08">
      <w:pPr>
        <w:spacing w:after="0" w:line="240" w:lineRule="auto"/>
        <w:jc w:val="both"/>
        <w:rPr>
          <w:rFonts w:ascii="Arial" w:hAnsi="Arial" w:cs="Arial"/>
          <w:sz w:val="24"/>
          <w:szCs w:val="24"/>
          <w:lang w:val="en-US"/>
        </w:rPr>
      </w:pPr>
    </w:p>
    <w:p w14:paraId="2403185F"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State Government has been busy promoting Tourism and </w:t>
      </w:r>
      <w:proofErr w:type="spellStart"/>
      <w:r w:rsidRPr="00586CC0">
        <w:rPr>
          <w:rFonts w:ascii="Arial" w:hAnsi="Arial" w:cs="Arial"/>
          <w:sz w:val="24"/>
          <w:szCs w:val="24"/>
          <w:lang w:val="en-US"/>
        </w:rPr>
        <w:t>capitali</w:t>
      </w:r>
      <w:r>
        <w:rPr>
          <w:rFonts w:ascii="Arial" w:hAnsi="Arial" w:cs="Arial"/>
          <w:sz w:val="24"/>
          <w:szCs w:val="24"/>
          <w:lang w:val="en-US"/>
        </w:rPr>
        <w:t>s</w:t>
      </w:r>
      <w:r w:rsidRPr="00586CC0">
        <w:rPr>
          <w:rFonts w:ascii="Arial" w:hAnsi="Arial" w:cs="Arial"/>
          <w:sz w:val="24"/>
          <w:szCs w:val="24"/>
          <w:lang w:val="en-US"/>
        </w:rPr>
        <w:t>ing</w:t>
      </w:r>
      <w:proofErr w:type="spellEnd"/>
      <w:r w:rsidRPr="00586CC0">
        <w:rPr>
          <w:rFonts w:ascii="Arial" w:hAnsi="Arial" w:cs="Arial"/>
          <w:sz w:val="24"/>
          <w:szCs w:val="24"/>
          <w:lang w:val="en-US"/>
        </w:rPr>
        <w:t xml:space="preserve"> on the new Optus Stadium facility with a resultant increase in tourism spending by 24% in the twelve months </w:t>
      </w:r>
      <w:r>
        <w:rPr>
          <w:rFonts w:ascii="Arial" w:hAnsi="Arial" w:cs="Arial"/>
          <w:sz w:val="24"/>
          <w:szCs w:val="24"/>
          <w:lang w:val="en-US"/>
        </w:rPr>
        <w:t xml:space="preserve">prior </w:t>
      </w:r>
      <w:r w:rsidRPr="00586CC0">
        <w:rPr>
          <w:rFonts w:ascii="Arial" w:hAnsi="Arial" w:cs="Arial"/>
          <w:sz w:val="24"/>
          <w:szCs w:val="24"/>
          <w:lang w:val="en-US"/>
        </w:rPr>
        <w:t xml:space="preserve">to March 2019. There appears to be strong interest from Tourism in this </w:t>
      </w:r>
      <w:proofErr w:type="gramStart"/>
      <w:r w:rsidRPr="00586CC0">
        <w:rPr>
          <w:rFonts w:ascii="Arial" w:hAnsi="Arial" w:cs="Arial"/>
          <w:sz w:val="24"/>
          <w:szCs w:val="24"/>
          <w:lang w:val="en-US"/>
        </w:rPr>
        <w:t>particular</w:t>
      </w:r>
      <w:r>
        <w:rPr>
          <w:rFonts w:ascii="Arial" w:hAnsi="Arial" w:cs="Arial"/>
          <w:sz w:val="24"/>
          <w:szCs w:val="24"/>
          <w:lang w:val="en-US"/>
        </w:rPr>
        <w:t xml:space="preserve"> </w:t>
      </w:r>
      <w:r w:rsidRPr="00586CC0">
        <w:rPr>
          <w:rFonts w:ascii="Arial" w:hAnsi="Arial" w:cs="Arial"/>
          <w:sz w:val="24"/>
          <w:szCs w:val="24"/>
          <w:lang w:val="en-US"/>
        </w:rPr>
        <w:t>project</w:t>
      </w:r>
      <w:proofErr w:type="gramEnd"/>
      <w:r w:rsidRPr="00586CC0">
        <w:rPr>
          <w:rFonts w:ascii="Arial" w:hAnsi="Arial" w:cs="Arial"/>
          <w:sz w:val="24"/>
          <w:szCs w:val="24"/>
          <w:lang w:val="en-US"/>
        </w:rPr>
        <w:t xml:space="preserve"> </w:t>
      </w:r>
      <w:r>
        <w:rPr>
          <w:rFonts w:ascii="Arial" w:hAnsi="Arial" w:cs="Arial"/>
          <w:sz w:val="24"/>
          <w:szCs w:val="24"/>
          <w:lang w:val="en-US"/>
        </w:rPr>
        <w:t>proceeding</w:t>
      </w:r>
      <w:r w:rsidRPr="00586CC0">
        <w:rPr>
          <w:rFonts w:ascii="Arial" w:hAnsi="Arial" w:cs="Arial"/>
          <w:sz w:val="24"/>
          <w:szCs w:val="24"/>
          <w:lang w:val="en-US"/>
        </w:rPr>
        <w:t>, manifesting itself in a newly formed sub Committee of Cabinet tasked with the role of ‘Making Tawarri Happen’</w:t>
      </w:r>
      <w:r>
        <w:rPr>
          <w:rFonts w:ascii="Arial" w:hAnsi="Arial" w:cs="Arial"/>
          <w:sz w:val="24"/>
          <w:szCs w:val="24"/>
          <w:lang w:val="en-US"/>
        </w:rPr>
        <w:t>.  Further information about Tourisms Attractions Case Management is provided in Attachment 3.</w:t>
      </w:r>
    </w:p>
    <w:p w14:paraId="25CABC5F" w14:textId="77777777" w:rsidR="00962F08" w:rsidRPr="00586CC0" w:rsidRDefault="00962F08" w:rsidP="00962F08">
      <w:pPr>
        <w:spacing w:after="0" w:line="240" w:lineRule="auto"/>
        <w:jc w:val="both"/>
        <w:rPr>
          <w:rFonts w:ascii="Arial" w:hAnsi="Arial" w:cs="Arial"/>
          <w:sz w:val="24"/>
          <w:szCs w:val="24"/>
          <w:lang w:val="en-US"/>
        </w:rPr>
      </w:pPr>
    </w:p>
    <w:p w14:paraId="6DA94367"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A significant number of resource projects are now in the pipeline but </w:t>
      </w:r>
      <w:proofErr w:type="gramStart"/>
      <w:r w:rsidRPr="00586CC0">
        <w:rPr>
          <w:rFonts w:ascii="Arial" w:hAnsi="Arial" w:cs="Arial"/>
          <w:sz w:val="24"/>
          <w:szCs w:val="24"/>
          <w:lang w:val="en-US"/>
        </w:rPr>
        <w:t>as</w:t>
      </w:r>
      <w:proofErr w:type="gramEnd"/>
      <w:r w:rsidRPr="00586CC0">
        <w:rPr>
          <w:rFonts w:ascii="Arial" w:hAnsi="Arial" w:cs="Arial"/>
          <w:sz w:val="24"/>
          <w:szCs w:val="24"/>
          <w:lang w:val="en-US"/>
        </w:rPr>
        <w:t xml:space="preserve"> yet the benefits have not flowed through to the broader economy</w:t>
      </w:r>
      <w:r>
        <w:rPr>
          <w:rFonts w:ascii="Arial" w:hAnsi="Arial" w:cs="Arial"/>
          <w:sz w:val="24"/>
          <w:szCs w:val="24"/>
          <w:lang w:val="en-US"/>
        </w:rPr>
        <w:t>, however this is</w:t>
      </w:r>
      <w:r w:rsidRPr="00586CC0">
        <w:rPr>
          <w:rFonts w:ascii="Arial" w:hAnsi="Arial" w:cs="Arial"/>
          <w:sz w:val="24"/>
          <w:szCs w:val="24"/>
          <w:lang w:val="en-US"/>
        </w:rPr>
        <w:t xml:space="preserve"> expected to change in the next few years.</w:t>
      </w:r>
    </w:p>
    <w:p w14:paraId="118BBDC8" w14:textId="77777777" w:rsidR="00962F08" w:rsidRPr="00586CC0" w:rsidRDefault="00962F08" w:rsidP="00962F08">
      <w:pPr>
        <w:spacing w:after="0" w:line="240" w:lineRule="auto"/>
        <w:jc w:val="both"/>
        <w:rPr>
          <w:rFonts w:ascii="Arial" w:hAnsi="Arial" w:cs="Arial"/>
          <w:sz w:val="24"/>
          <w:szCs w:val="24"/>
          <w:lang w:val="en-US"/>
        </w:rPr>
      </w:pPr>
    </w:p>
    <w:p w14:paraId="38FC62C5"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It is in the context of this scenario that the proposed Tawarri HOA needs to be considered as well as the overriding priority to </w:t>
      </w:r>
      <w:proofErr w:type="spellStart"/>
      <w:r w:rsidRPr="00586CC0">
        <w:rPr>
          <w:rFonts w:ascii="Arial" w:hAnsi="Arial" w:cs="Arial"/>
          <w:sz w:val="24"/>
          <w:szCs w:val="24"/>
          <w:lang w:val="en-US"/>
        </w:rPr>
        <w:t>minimi</w:t>
      </w:r>
      <w:r>
        <w:rPr>
          <w:rFonts w:ascii="Arial" w:hAnsi="Arial" w:cs="Arial"/>
          <w:sz w:val="24"/>
          <w:szCs w:val="24"/>
          <w:lang w:val="en-US"/>
        </w:rPr>
        <w:t>s</w:t>
      </w:r>
      <w:r w:rsidRPr="00586CC0">
        <w:rPr>
          <w:rFonts w:ascii="Arial" w:hAnsi="Arial" w:cs="Arial"/>
          <w:sz w:val="24"/>
          <w:szCs w:val="24"/>
          <w:lang w:val="en-US"/>
        </w:rPr>
        <w:t>e</w:t>
      </w:r>
      <w:proofErr w:type="spellEnd"/>
      <w:r w:rsidRPr="00586CC0">
        <w:rPr>
          <w:rFonts w:ascii="Arial" w:hAnsi="Arial" w:cs="Arial"/>
          <w:sz w:val="24"/>
          <w:szCs w:val="24"/>
          <w:lang w:val="en-US"/>
        </w:rPr>
        <w:t xml:space="preserve"> the costs and risks to the City.</w:t>
      </w:r>
    </w:p>
    <w:p w14:paraId="4565F37C" w14:textId="77777777" w:rsidR="00962F08" w:rsidRDefault="00962F08" w:rsidP="00962F08">
      <w:pPr>
        <w:spacing w:after="0" w:line="240" w:lineRule="auto"/>
        <w:jc w:val="both"/>
        <w:rPr>
          <w:rFonts w:ascii="Arial" w:hAnsi="Arial" w:cs="Arial"/>
          <w:sz w:val="24"/>
          <w:szCs w:val="24"/>
          <w:lang w:val="en-US"/>
        </w:rPr>
      </w:pPr>
    </w:p>
    <w:p w14:paraId="733AC6AB" w14:textId="77777777" w:rsidR="00962F08" w:rsidRPr="00134699" w:rsidRDefault="00962F08" w:rsidP="00962F08">
      <w:pPr>
        <w:spacing w:after="0" w:line="240" w:lineRule="auto"/>
        <w:jc w:val="both"/>
        <w:rPr>
          <w:rFonts w:ascii="Arial" w:hAnsi="Arial" w:cs="Arial"/>
          <w:b/>
          <w:bCs/>
          <w:sz w:val="24"/>
          <w:szCs w:val="24"/>
          <w:lang w:val="en-US"/>
        </w:rPr>
      </w:pPr>
      <w:r w:rsidRPr="00134699">
        <w:rPr>
          <w:rFonts w:ascii="Arial" w:hAnsi="Arial" w:cs="Arial"/>
          <w:b/>
          <w:bCs/>
          <w:sz w:val="24"/>
          <w:szCs w:val="24"/>
          <w:lang w:val="en-US"/>
        </w:rPr>
        <w:t>Terms of the Heads of Agreement</w:t>
      </w:r>
    </w:p>
    <w:p w14:paraId="76E5FA9D" w14:textId="0D3F4F32" w:rsidR="00962F08" w:rsidRDefault="00962F08" w:rsidP="00A65AA8">
      <w:pPr>
        <w:spacing w:after="0" w:line="240" w:lineRule="auto"/>
        <w:jc w:val="both"/>
        <w:rPr>
          <w:rFonts w:ascii="Arial" w:hAnsi="Arial" w:cs="Arial"/>
          <w:sz w:val="24"/>
          <w:szCs w:val="24"/>
          <w:lang w:val="en-US"/>
        </w:rPr>
      </w:pPr>
    </w:p>
    <w:p w14:paraId="5DFCEEE2" w14:textId="1A1940BF" w:rsidR="003444A4" w:rsidRPr="002E3EED" w:rsidRDefault="003444A4" w:rsidP="00AC5557">
      <w:pPr>
        <w:spacing w:after="0" w:line="240" w:lineRule="auto"/>
        <w:jc w:val="both"/>
        <w:rPr>
          <w:rFonts w:ascii="Arial" w:hAnsi="Arial" w:cs="Arial"/>
          <w:sz w:val="24"/>
          <w:szCs w:val="24"/>
          <w:lang w:val="en-US"/>
        </w:rPr>
      </w:pPr>
      <w:r w:rsidRPr="002E3EED">
        <w:rPr>
          <w:rFonts w:ascii="Arial" w:hAnsi="Arial" w:cs="Arial"/>
          <w:sz w:val="24"/>
          <w:szCs w:val="24"/>
          <w:lang w:val="en-US"/>
        </w:rPr>
        <w:t xml:space="preserve">The HOA </w:t>
      </w:r>
      <w:r w:rsidR="00315126" w:rsidRPr="002E3EED">
        <w:rPr>
          <w:rFonts w:ascii="Arial" w:hAnsi="Arial" w:cs="Arial"/>
          <w:sz w:val="24"/>
          <w:szCs w:val="24"/>
          <w:lang w:val="en-US"/>
        </w:rPr>
        <w:t xml:space="preserve">sets up the core elements of the future </w:t>
      </w:r>
      <w:proofErr w:type="spellStart"/>
      <w:r w:rsidR="00315126" w:rsidRPr="002E3EED">
        <w:rPr>
          <w:rFonts w:ascii="Arial" w:hAnsi="Arial" w:cs="Arial"/>
          <w:sz w:val="24"/>
          <w:szCs w:val="24"/>
          <w:lang w:val="en-US"/>
        </w:rPr>
        <w:t>SubLease</w:t>
      </w:r>
      <w:proofErr w:type="spellEnd"/>
      <w:r w:rsidR="00315126" w:rsidRPr="002E3EED">
        <w:rPr>
          <w:rFonts w:ascii="Arial" w:hAnsi="Arial" w:cs="Arial"/>
          <w:sz w:val="24"/>
          <w:szCs w:val="24"/>
          <w:lang w:val="en-US"/>
        </w:rPr>
        <w:t>, details of which can be found in Confidential Attachment 1.  Matters covered include</w:t>
      </w:r>
      <w:r w:rsidR="00E232B8" w:rsidRPr="002E3EED">
        <w:rPr>
          <w:rFonts w:ascii="Arial" w:hAnsi="Arial" w:cs="Arial"/>
          <w:sz w:val="24"/>
          <w:szCs w:val="24"/>
          <w:lang w:val="en-US"/>
        </w:rPr>
        <w:t xml:space="preserve"> </w:t>
      </w:r>
      <w:r w:rsidR="00AC5557" w:rsidRPr="002E3EED">
        <w:rPr>
          <w:rFonts w:ascii="Arial" w:hAnsi="Arial" w:cs="Arial"/>
          <w:sz w:val="24"/>
          <w:szCs w:val="24"/>
          <w:lang w:val="en-US"/>
        </w:rPr>
        <w:t>b</w:t>
      </w:r>
      <w:r w:rsidR="00E232B8" w:rsidRPr="002E3EED">
        <w:rPr>
          <w:rFonts w:ascii="Arial" w:hAnsi="Arial" w:cs="Arial"/>
          <w:sz w:val="24"/>
          <w:szCs w:val="24"/>
          <w:lang w:val="en-US"/>
        </w:rPr>
        <w:t xml:space="preserve">ase and </w:t>
      </w:r>
      <w:r w:rsidR="00AC5557" w:rsidRPr="002E3EED">
        <w:rPr>
          <w:rFonts w:ascii="Arial" w:hAnsi="Arial" w:cs="Arial"/>
          <w:sz w:val="24"/>
          <w:szCs w:val="24"/>
          <w:lang w:val="en-US"/>
        </w:rPr>
        <w:t>t</w:t>
      </w:r>
      <w:r w:rsidR="00E232B8" w:rsidRPr="002E3EED">
        <w:rPr>
          <w:rFonts w:ascii="Arial" w:hAnsi="Arial" w:cs="Arial"/>
          <w:sz w:val="24"/>
          <w:szCs w:val="24"/>
          <w:lang w:val="en-US"/>
        </w:rPr>
        <w:t xml:space="preserve">urnover </w:t>
      </w:r>
      <w:r w:rsidR="00AC5557" w:rsidRPr="002E3EED">
        <w:rPr>
          <w:rFonts w:ascii="Arial" w:hAnsi="Arial" w:cs="Arial"/>
          <w:sz w:val="24"/>
          <w:szCs w:val="24"/>
          <w:lang w:val="en-US"/>
        </w:rPr>
        <w:t>r</w:t>
      </w:r>
      <w:r w:rsidR="00E232B8" w:rsidRPr="002E3EED">
        <w:rPr>
          <w:rFonts w:ascii="Arial" w:hAnsi="Arial" w:cs="Arial"/>
          <w:sz w:val="24"/>
          <w:szCs w:val="24"/>
          <w:lang w:val="en-US"/>
        </w:rPr>
        <w:t>ents, annual rental increments, market review period, rental commencement date, outgoings</w:t>
      </w:r>
      <w:r w:rsidR="00A32E76" w:rsidRPr="002E3EED">
        <w:rPr>
          <w:rFonts w:ascii="Arial" w:hAnsi="Arial" w:cs="Arial"/>
          <w:sz w:val="24"/>
          <w:szCs w:val="24"/>
          <w:lang w:val="en-US"/>
        </w:rPr>
        <w:t>, a</w:t>
      </w:r>
      <w:r w:rsidR="00E232B8" w:rsidRPr="002E3EED">
        <w:rPr>
          <w:rFonts w:ascii="Arial" w:hAnsi="Arial" w:cs="Arial"/>
          <w:sz w:val="24"/>
          <w:szCs w:val="24"/>
          <w:lang w:val="en-US"/>
        </w:rPr>
        <w:t xml:space="preserve">ssignment of </w:t>
      </w:r>
      <w:r w:rsidR="00F33512" w:rsidRPr="002E3EED">
        <w:rPr>
          <w:rFonts w:ascii="Arial" w:hAnsi="Arial" w:cs="Arial"/>
          <w:sz w:val="24"/>
          <w:szCs w:val="24"/>
          <w:lang w:val="en-US"/>
        </w:rPr>
        <w:t xml:space="preserve">the </w:t>
      </w:r>
      <w:proofErr w:type="spellStart"/>
      <w:r w:rsidR="00F33512" w:rsidRPr="002E3EED">
        <w:rPr>
          <w:rFonts w:ascii="Arial" w:hAnsi="Arial" w:cs="Arial"/>
          <w:sz w:val="24"/>
          <w:szCs w:val="24"/>
          <w:lang w:val="en-US"/>
        </w:rPr>
        <w:t>SubLease</w:t>
      </w:r>
      <w:proofErr w:type="spellEnd"/>
      <w:r w:rsidR="00F33512" w:rsidRPr="002E3EED">
        <w:rPr>
          <w:rFonts w:ascii="Arial" w:hAnsi="Arial" w:cs="Arial"/>
          <w:sz w:val="24"/>
          <w:szCs w:val="24"/>
          <w:lang w:val="en-US"/>
        </w:rPr>
        <w:t xml:space="preserve">, reinstatement, </w:t>
      </w:r>
      <w:r w:rsidR="00A32E76" w:rsidRPr="002E3EED">
        <w:rPr>
          <w:rFonts w:ascii="Arial" w:hAnsi="Arial" w:cs="Arial"/>
          <w:sz w:val="24"/>
          <w:szCs w:val="24"/>
          <w:lang w:val="en-US"/>
        </w:rPr>
        <w:t>works, insurance and bank guarantees</w:t>
      </w:r>
      <w:r w:rsidR="00F33512" w:rsidRPr="002E3EED">
        <w:rPr>
          <w:rFonts w:ascii="Arial" w:hAnsi="Arial" w:cs="Arial"/>
          <w:sz w:val="24"/>
          <w:szCs w:val="24"/>
          <w:lang w:val="en-US"/>
        </w:rPr>
        <w:t>.</w:t>
      </w:r>
    </w:p>
    <w:p w14:paraId="74153D40" w14:textId="77777777" w:rsidR="00A32E76" w:rsidRPr="002E3EED" w:rsidRDefault="00A32E76" w:rsidP="00962F08">
      <w:pPr>
        <w:spacing w:after="0" w:line="240" w:lineRule="auto"/>
        <w:ind w:left="720"/>
        <w:jc w:val="both"/>
        <w:rPr>
          <w:rFonts w:ascii="Arial" w:hAnsi="Arial" w:cs="Arial"/>
          <w:sz w:val="24"/>
          <w:szCs w:val="24"/>
          <w:lang w:val="en-US"/>
        </w:rPr>
      </w:pPr>
    </w:p>
    <w:p w14:paraId="0D5C837C" w14:textId="384BB3B0" w:rsidR="00962F08" w:rsidRDefault="00962F08" w:rsidP="00962F08">
      <w:pPr>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Advice relating to this proposal from a commercial solicitor, Guy </w:t>
      </w:r>
      <w:r w:rsidR="00BA23D4">
        <w:rPr>
          <w:rFonts w:ascii="Arial" w:hAnsi="Arial" w:cs="Arial"/>
          <w:sz w:val="24"/>
          <w:szCs w:val="24"/>
          <w:lang w:val="en-US"/>
        </w:rPr>
        <w:t>Douglas</w:t>
      </w:r>
      <w:r>
        <w:rPr>
          <w:rFonts w:ascii="Arial" w:hAnsi="Arial" w:cs="Arial"/>
          <w:sz w:val="24"/>
          <w:szCs w:val="24"/>
          <w:lang w:val="en-US"/>
        </w:rPr>
        <w:t>, is provided in</w:t>
      </w:r>
      <w:r w:rsidR="000B4C0E">
        <w:rPr>
          <w:rFonts w:ascii="Arial" w:hAnsi="Arial" w:cs="Arial"/>
          <w:sz w:val="24"/>
          <w:szCs w:val="24"/>
          <w:lang w:val="en-US"/>
        </w:rPr>
        <w:t xml:space="preserve"> Confidential</w:t>
      </w:r>
      <w:r>
        <w:rPr>
          <w:rFonts w:ascii="Arial" w:hAnsi="Arial" w:cs="Arial"/>
          <w:sz w:val="24"/>
          <w:szCs w:val="24"/>
          <w:lang w:val="en-US"/>
        </w:rPr>
        <w:t xml:space="preserve"> Attachment 4.</w:t>
      </w:r>
    </w:p>
    <w:p w14:paraId="312CE6DE" w14:textId="77777777" w:rsidR="00962F08" w:rsidRPr="00586CC0" w:rsidRDefault="00962F08" w:rsidP="00962F08">
      <w:pPr>
        <w:spacing w:after="0" w:line="240" w:lineRule="auto"/>
        <w:jc w:val="both"/>
        <w:rPr>
          <w:rFonts w:ascii="Arial" w:hAnsi="Arial" w:cs="Arial"/>
          <w:sz w:val="24"/>
          <w:szCs w:val="24"/>
          <w:lang w:val="en-US"/>
        </w:rPr>
      </w:pPr>
    </w:p>
    <w:p w14:paraId="22A19CAE" w14:textId="77777777" w:rsidR="00962F08" w:rsidRDefault="00962F08" w:rsidP="00962F08">
      <w:pPr>
        <w:spacing w:after="0" w:line="240" w:lineRule="auto"/>
        <w:jc w:val="both"/>
        <w:rPr>
          <w:rFonts w:ascii="Arial" w:hAnsi="Arial" w:cs="Arial"/>
          <w:b/>
          <w:sz w:val="24"/>
          <w:szCs w:val="24"/>
          <w:lang w:val="en-US"/>
        </w:rPr>
      </w:pPr>
      <w:r>
        <w:rPr>
          <w:rFonts w:ascii="Arial" w:hAnsi="Arial" w:cs="Arial"/>
          <w:b/>
          <w:sz w:val="24"/>
          <w:szCs w:val="24"/>
          <w:lang w:val="en-US"/>
        </w:rPr>
        <w:t>Summary</w:t>
      </w:r>
    </w:p>
    <w:p w14:paraId="2D04845F" w14:textId="77777777" w:rsidR="00962F08" w:rsidRPr="00586CC0" w:rsidRDefault="00962F08" w:rsidP="00962F08">
      <w:pPr>
        <w:spacing w:after="0" w:line="240" w:lineRule="auto"/>
        <w:jc w:val="both"/>
        <w:rPr>
          <w:rFonts w:ascii="Arial" w:hAnsi="Arial" w:cs="Arial"/>
          <w:b/>
          <w:sz w:val="24"/>
          <w:szCs w:val="24"/>
          <w:lang w:val="en-US"/>
        </w:rPr>
      </w:pPr>
    </w:p>
    <w:p w14:paraId="2156FD17"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On balance the response to the RFP was limited reflecting the complexity of the project and the economic times which WA is currently facing.</w:t>
      </w:r>
    </w:p>
    <w:p w14:paraId="21382743" w14:textId="77777777" w:rsidR="00962F08" w:rsidRPr="00586CC0" w:rsidRDefault="00962F08" w:rsidP="00962F08">
      <w:pPr>
        <w:spacing w:after="0" w:line="240" w:lineRule="auto"/>
        <w:jc w:val="both"/>
        <w:rPr>
          <w:rFonts w:ascii="Arial" w:hAnsi="Arial" w:cs="Arial"/>
          <w:sz w:val="24"/>
          <w:szCs w:val="24"/>
          <w:lang w:val="en-US"/>
        </w:rPr>
      </w:pPr>
    </w:p>
    <w:p w14:paraId="0246E8E5"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The extended negotiation has resulted in an agreement which has encouraged the proponent to accept reasonable commercial terms while limiting the risk to the City.</w:t>
      </w:r>
    </w:p>
    <w:p w14:paraId="75614B77" w14:textId="77777777" w:rsidR="00962F08" w:rsidRPr="00586CC0" w:rsidRDefault="00962F08" w:rsidP="00962F08">
      <w:pPr>
        <w:spacing w:after="0" w:line="240" w:lineRule="auto"/>
        <w:jc w:val="both"/>
        <w:rPr>
          <w:rFonts w:ascii="Arial" w:hAnsi="Arial" w:cs="Arial"/>
          <w:sz w:val="24"/>
          <w:szCs w:val="24"/>
          <w:lang w:val="en-US"/>
        </w:rPr>
      </w:pPr>
    </w:p>
    <w:p w14:paraId="30990FDE"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 xml:space="preserve">The ability to apply a Market Value Review at the end of three years (provided the terms of reference for the Market Review are adequate) </w:t>
      </w:r>
      <w:proofErr w:type="gramStart"/>
      <w:r w:rsidRPr="00586CC0">
        <w:rPr>
          <w:rFonts w:ascii="Arial" w:hAnsi="Arial" w:cs="Arial"/>
          <w:sz w:val="24"/>
          <w:szCs w:val="24"/>
          <w:lang w:val="en-US"/>
        </w:rPr>
        <w:t>is considered to be</w:t>
      </w:r>
      <w:proofErr w:type="gramEnd"/>
      <w:r w:rsidRPr="00586CC0">
        <w:rPr>
          <w:rFonts w:ascii="Arial" w:hAnsi="Arial" w:cs="Arial"/>
          <w:sz w:val="24"/>
          <w:szCs w:val="24"/>
          <w:lang w:val="en-US"/>
        </w:rPr>
        <w:t xml:space="preserve"> the most equitable means to resolve the Market Value of the premises.</w:t>
      </w:r>
    </w:p>
    <w:p w14:paraId="7B0276F6" w14:textId="77777777" w:rsidR="00962F08" w:rsidRPr="00586CC0" w:rsidRDefault="00962F08" w:rsidP="00962F08">
      <w:pPr>
        <w:spacing w:after="0" w:line="240" w:lineRule="auto"/>
        <w:jc w:val="both"/>
        <w:rPr>
          <w:rFonts w:ascii="Arial" w:hAnsi="Arial" w:cs="Arial"/>
          <w:sz w:val="24"/>
          <w:szCs w:val="24"/>
          <w:lang w:val="en-US"/>
        </w:rPr>
      </w:pPr>
    </w:p>
    <w:p w14:paraId="289AA7DD" w14:textId="77777777" w:rsidR="00962F08" w:rsidRDefault="00962F08" w:rsidP="00962F08">
      <w:pPr>
        <w:spacing w:after="0" w:line="240" w:lineRule="auto"/>
        <w:jc w:val="both"/>
        <w:rPr>
          <w:rFonts w:ascii="Arial" w:hAnsi="Arial" w:cs="Arial"/>
          <w:sz w:val="24"/>
          <w:szCs w:val="24"/>
          <w:lang w:val="en-US"/>
        </w:rPr>
      </w:pPr>
      <w:r w:rsidRPr="005A666E">
        <w:rPr>
          <w:rFonts w:ascii="Arial" w:hAnsi="Arial" w:cs="Arial"/>
          <w:sz w:val="24"/>
          <w:szCs w:val="24"/>
          <w:lang w:val="en-US"/>
        </w:rPr>
        <w:t>Because of the current economic situation, it could be argued that it may be better to not accept this proposal and wait until economic conditions are possibly more favorable and allow other parties to show greater interest.</w:t>
      </w:r>
    </w:p>
    <w:p w14:paraId="5026A3B9" w14:textId="77777777" w:rsidR="00962F08" w:rsidRPr="00586CC0" w:rsidRDefault="00962F08" w:rsidP="00962F08">
      <w:pPr>
        <w:spacing w:after="0" w:line="240" w:lineRule="auto"/>
        <w:jc w:val="both"/>
        <w:rPr>
          <w:rFonts w:ascii="Arial" w:hAnsi="Arial" w:cs="Arial"/>
          <w:sz w:val="24"/>
          <w:szCs w:val="24"/>
          <w:lang w:val="en-US"/>
        </w:rPr>
      </w:pPr>
    </w:p>
    <w:p w14:paraId="7563D342"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However</w:t>
      </w:r>
      <w:r>
        <w:rPr>
          <w:rFonts w:ascii="Arial" w:hAnsi="Arial" w:cs="Arial"/>
          <w:sz w:val="24"/>
          <w:szCs w:val="24"/>
          <w:lang w:val="en-US"/>
        </w:rPr>
        <w:t>,</w:t>
      </w:r>
      <w:r w:rsidRPr="00586CC0">
        <w:rPr>
          <w:rFonts w:ascii="Arial" w:hAnsi="Arial" w:cs="Arial"/>
          <w:sz w:val="24"/>
          <w:szCs w:val="24"/>
          <w:lang w:val="en-US"/>
        </w:rPr>
        <w:t xml:space="preserve"> the position currently is that there is genuine interest from a seemingly credible party who want to develop a unique facility which could generate significant interest from the Interstate and Overseas Tourist Market as well as providing a service to the local community.  The State Government have indicated a high level of interest in this project through the Minister of Tourism</w:t>
      </w:r>
      <w:r>
        <w:rPr>
          <w:rFonts w:ascii="Arial" w:hAnsi="Arial" w:cs="Arial"/>
          <w:sz w:val="24"/>
          <w:szCs w:val="24"/>
          <w:lang w:val="en-US"/>
        </w:rPr>
        <w:t>,</w:t>
      </w:r>
      <w:r w:rsidRPr="00586CC0">
        <w:rPr>
          <w:rFonts w:ascii="Arial" w:hAnsi="Arial" w:cs="Arial"/>
          <w:sz w:val="24"/>
          <w:szCs w:val="24"/>
          <w:lang w:val="en-US"/>
        </w:rPr>
        <w:t xml:space="preserve"> and have </w:t>
      </w:r>
      <w:r>
        <w:rPr>
          <w:rFonts w:ascii="Arial" w:hAnsi="Arial" w:cs="Arial"/>
          <w:sz w:val="24"/>
          <w:szCs w:val="24"/>
          <w:lang w:val="en-US"/>
        </w:rPr>
        <w:t>provided an official statement as follows:</w:t>
      </w:r>
    </w:p>
    <w:p w14:paraId="11AC9021" w14:textId="77777777" w:rsidR="00962F08" w:rsidRPr="00586CC0" w:rsidRDefault="00962F08" w:rsidP="00962F08">
      <w:pPr>
        <w:spacing w:after="0" w:line="240" w:lineRule="auto"/>
        <w:jc w:val="both"/>
        <w:rPr>
          <w:rFonts w:ascii="Arial" w:hAnsi="Arial" w:cs="Arial"/>
          <w:sz w:val="24"/>
          <w:szCs w:val="24"/>
          <w:lang w:val="en-US"/>
        </w:rPr>
      </w:pPr>
    </w:p>
    <w:p w14:paraId="2421ECED" w14:textId="77777777" w:rsidR="00962F08" w:rsidRDefault="00962F08" w:rsidP="00962F08">
      <w:pPr>
        <w:spacing w:after="0" w:line="240" w:lineRule="auto"/>
        <w:jc w:val="both"/>
        <w:rPr>
          <w:rFonts w:ascii="Arial" w:hAnsi="Arial" w:cs="Arial"/>
          <w:i/>
          <w:iCs/>
          <w:sz w:val="24"/>
          <w:szCs w:val="24"/>
        </w:rPr>
      </w:pPr>
      <w:r>
        <w:rPr>
          <w:rFonts w:ascii="Arial" w:hAnsi="Arial" w:cs="Arial"/>
          <w:i/>
          <w:iCs/>
          <w:sz w:val="24"/>
          <w:szCs w:val="24"/>
        </w:rPr>
        <w:t>“</w:t>
      </w:r>
      <w:r w:rsidRPr="00586CC0">
        <w:rPr>
          <w:rFonts w:ascii="Arial" w:hAnsi="Arial" w:cs="Arial"/>
          <w:i/>
          <w:iCs/>
          <w:sz w:val="24"/>
          <w:szCs w:val="24"/>
        </w:rPr>
        <w:t>The Tawarri Hot Springs development is supported by the Western Australian Government as a Strategic Tourism Attraction to be case managed by Tourism Western Australia under the Tourism Attractions Case Management Framework</w:t>
      </w:r>
      <w:r>
        <w:rPr>
          <w:rFonts w:ascii="Arial" w:hAnsi="Arial" w:cs="Arial"/>
          <w:i/>
          <w:iCs/>
          <w:sz w:val="24"/>
          <w:szCs w:val="24"/>
        </w:rPr>
        <w:t>”</w:t>
      </w:r>
    </w:p>
    <w:p w14:paraId="448AF6A5" w14:textId="77777777" w:rsidR="00962F08" w:rsidRPr="00586CC0" w:rsidRDefault="00962F08" w:rsidP="00962F08">
      <w:pPr>
        <w:spacing w:after="0" w:line="240" w:lineRule="auto"/>
        <w:jc w:val="both"/>
        <w:rPr>
          <w:rFonts w:ascii="Arial" w:hAnsi="Arial" w:cs="Arial"/>
          <w:sz w:val="24"/>
          <w:szCs w:val="24"/>
        </w:rPr>
      </w:pPr>
    </w:p>
    <w:p w14:paraId="2224FAC6" w14:textId="77777777" w:rsidR="00962F08" w:rsidRDefault="00962F08" w:rsidP="00962F08">
      <w:pPr>
        <w:spacing w:after="0" w:line="240" w:lineRule="auto"/>
        <w:jc w:val="both"/>
        <w:rPr>
          <w:rFonts w:ascii="Arial" w:hAnsi="Arial" w:cs="Arial"/>
          <w:sz w:val="24"/>
          <w:szCs w:val="24"/>
          <w:lang w:val="en-US"/>
        </w:rPr>
      </w:pPr>
      <w:r w:rsidRPr="00586CC0">
        <w:rPr>
          <w:rFonts w:ascii="Arial" w:hAnsi="Arial" w:cs="Arial"/>
          <w:sz w:val="24"/>
          <w:szCs w:val="24"/>
          <w:lang w:val="en-US"/>
        </w:rPr>
        <w:t>The success of the project however will depend upon the City</w:t>
      </w:r>
      <w:r>
        <w:rPr>
          <w:rFonts w:ascii="Arial" w:hAnsi="Arial" w:cs="Arial"/>
          <w:sz w:val="24"/>
          <w:szCs w:val="24"/>
          <w:lang w:val="en-US"/>
        </w:rPr>
        <w:t xml:space="preserve"> and </w:t>
      </w:r>
      <w:r w:rsidRPr="00586CC0">
        <w:rPr>
          <w:rFonts w:ascii="Arial" w:hAnsi="Arial" w:cs="Arial"/>
          <w:sz w:val="24"/>
          <w:szCs w:val="24"/>
          <w:lang w:val="en-US"/>
        </w:rPr>
        <w:t>State Government being satisfied with the design and concepts submitted by THS, the proposed business plan and the City/State Government being satisfied that the parties involved have the financial capacity to deliver the project and operate it successfully</w:t>
      </w:r>
      <w:r>
        <w:rPr>
          <w:rFonts w:ascii="Arial" w:hAnsi="Arial" w:cs="Arial"/>
          <w:sz w:val="24"/>
          <w:szCs w:val="24"/>
          <w:lang w:val="en-US"/>
        </w:rPr>
        <w:t>, and the proponent achieving the required approvals</w:t>
      </w:r>
      <w:r w:rsidRPr="00586CC0">
        <w:rPr>
          <w:rFonts w:ascii="Arial" w:hAnsi="Arial" w:cs="Arial"/>
          <w:sz w:val="24"/>
          <w:szCs w:val="24"/>
          <w:lang w:val="en-US"/>
        </w:rPr>
        <w:t>.</w:t>
      </w:r>
    </w:p>
    <w:p w14:paraId="7333895D" w14:textId="77777777" w:rsidR="00E73266" w:rsidRDefault="00E73266" w:rsidP="00962F08">
      <w:pPr>
        <w:spacing w:after="0" w:line="240" w:lineRule="auto"/>
        <w:jc w:val="both"/>
        <w:rPr>
          <w:rFonts w:ascii="Arial" w:hAnsi="Arial" w:cs="Arial"/>
          <w:b/>
          <w:bCs/>
          <w:sz w:val="24"/>
          <w:szCs w:val="24"/>
          <w:lang w:val="en-US"/>
        </w:rPr>
      </w:pPr>
    </w:p>
    <w:p w14:paraId="6890ADC8" w14:textId="2610F27E" w:rsidR="00962F08" w:rsidRPr="00783DC1" w:rsidRDefault="00962F08" w:rsidP="00962F08">
      <w:pPr>
        <w:spacing w:after="0" w:line="240" w:lineRule="auto"/>
        <w:jc w:val="both"/>
        <w:rPr>
          <w:rFonts w:ascii="Arial" w:hAnsi="Arial" w:cs="Arial"/>
          <w:b/>
          <w:bCs/>
          <w:sz w:val="24"/>
          <w:szCs w:val="24"/>
          <w:lang w:val="en-US"/>
        </w:rPr>
      </w:pPr>
      <w:r w:rsidRPr="00783DC1">
        <w:rPr>
          <w:rFonts w:ascii="Arial" w:hAnsi="Arial" w:cs="Arial"/>
          <w:b/>
          <w:bCs/>
          <w:sz w:val="24"/>
          <w:szCs w:val="24"/>
          <w:lang w:val="en-US"/>
        </w:rPr>
        <w:t xml:space="preserve">Concept Development </w:t>
      </w:r>
    </w:p>
    <w:p w14:paraId="1167CCEB" w14:textId="77777777" w:rsidR="00962F08" w:rsidRDefault="00962F08" w:rsidP="00962F08">
      <w:pPr>
        <w:spacing w:after="0" w:line="240" w:lineRule="auto"/>
        <w:jc w:val="both"/>
        <w:rPr>
          <w:rFonts w:ascii="Arial" w:hAnsi="Arial" w:cs="Arial"/>
          <w:sz w:val="24"/>
          <w:szCs w:val="24"/>
          <w:lang w:val="en-US"/>
        </w:rPr>
      </w:pPr>
    </w:p>
    <w:p w14:paraId="562CFF21" w14:textId="77777777" w:rsidR="00962F08" w:rsidRDefault="00962F08" w:rsidP="00962F08">
      <w:pPr>
        <w:spacing w:after="0" w:line="240" w:lineRule="auto"/>
        <w:jc w:val="both"/>
        <w:rPr>
          <w:rFonts w:ascii="Arial" w:hAnsi="Arial" w:cs="Arial"/>
          <w:sz w:val="24"/>
          <w:szCs w:val="24"/>
          <w:lang w:val="en-US"/>
        </w:rPr>
      </w:pPr>
      <w:r>
        <w:rPr>
          <w:rFonts w:ascii="Arial" w:hAnsi="Arial" w:cs="Arial"/>
          <w:sz w:val="24"/>
          <w:szCs w:val="24"/>
          <w:lang w:val="en-US"/>
        </w:rPr>
        <w:t xml:space="preserve">Concepts were provided to Council last year and are currently being further developed and refined, including to consider the feedback that was given by the Council’s endorsed selection panel during the process of selecting the Preferred Proponent.  Updated concept drawings are expected in the coming weeks and will be provided to the endorsed selection Panel and then Council once available.  In addition to this, the City’s Planning team intends to assist in reviewing and informing design during the detailed design phase stage to ensure the </w:t>
      </w:r>
      <w:proofErr w:type="gramStart"/>
      <w:r>
        <w:rPr>
          <w:rFonts w:ascii="Arial" w:hAnsi="Arial" w:cs="Arial"/>
          <w:sz w:val="24"/>
          <w:szCs w:val="24"/>
          <w:lang w:val="en-US"/>
        </w:rPr>
        <w:t>final outcome</w:t>
      </w:r>
      <w:proofErr w:type="gramEnd"/>
      <w:r>
        <w:rPr>
          <w:rFonts w:ascii="Arial" w:hAnsi="Arial" w:cs="Arial"/>
          <w:sz w:val="24"/>
          <w:szCs w:val="24"/>
          <w:lang w:val="en-US"/>
        </w:rPr>
        <w:t xml:space="preserve"> best meets the expectations of Council.</w:t>
      </w:r>
    </w:p>
    <w:p w14:paraId="174471D4" w14:textId="77777777" w:rsidR="00962F08" w:rsidRPr="00586CC0" w:rsidRDefault="00962F08" w:rsidP="00962F08">
      <w:pPr>
        <w:spacing w:after="0" w:line="240" w:lineRule="auto"/>
        <w:jc w:val="both"/>
        <w:rPr>
          <w:rFonts w:ascii="Arial" w:hAnsi="Arial" w:cs="Arial"/>
          <w:sz w:val="24"/>
          <w:szCs w:val="24"/>
          <w:lang w:val="en-US"/>
        </w:rPr>
      </w:pPr>
    </w:p>
    <w:p w14:paraId="37CF8784" w14:textId="77777777" w:rsidR="00962F08" w:rsidRDefault="00962F08" w:rsidP="00962F08">
      <w:pPr>
        <w:spacing w:after="0" w:line="240" w:lineRule="auto"/>
        <w:jc w:val="both"/>
        <w:rPr>
          <w:rFonts w:ascii="Arial" w:hAnsi="Arial" w:cs="Arial"/>
          <w:sz w:val="24"/>
          <w:szCs w:val="24"/>
        </w:rPr>
      </w:pPr>
      <w:r>
        <w:rPr>
          <w:rFonts w:ascii="Arial" w:hAnsi="Arial" w:cs="Arial"/>
          <w:sz w:val="24"/>
          <w:szCs w:val="24"/>
        </w:rPr>
        <w:t>Upon</w:t>
      </w:r>
      <w:r w:rsidRPr="00586CC0">
        <w:rPr>
          <w:rFonts w:ascii="Arial" w:hAnsi="Arial" w:cs="Arial"/>
          <w:sz w:val="24"/>
          <w:szCs w:val="24"/>
        </w:rPr>
        <w:t xml:space="preserve"> approval of the Heads of Agreement and conditions within, the CEO will instruct </w:t>
      </w:r>
      <w:proofErr w:type="spellStart"/>
      <w:r w:rsidRPr="00586CC0">
        <w:rPr>
          <w:rFonts w:ascii="Arial" w:hAnsi="Arial" w:cs="Arial"/>
          <w:sz w:val="24"/>
          <w:szCs w:val="24"/>
        </w:rPr>
        <w:t>McLeods</w:t>
      </w:r>
      <w:proofErr w:type="spellEnd"/>
      <w:r w:rsidRPr="00586CC0">
        <w:rPr>
          <w:rFonts w:ascii="Arial" w:hAnsi="Arial" w:cs="Arial"/>
          <w:sz w:val="24"/>
          <w:szCs w:val="24"/>
        </w:rPr>
        <w:t xml:space="preserve"> to commence lease preparation.  Lease preparations take the form of;</w:t>
      </w:r>
    </w:p>
    <w:p w14:paraId="2F8EA0F4" w14:textId="77777777" w:rsidR="00962F08" w:rsidRPr="00586CC0" w:rsidRDefault="00962F08" w:rsidP="00962F08">
      <w:pPr>
        <w:spacing w:after="0" w:line="240" w:lineRule="auto"/>
        <w:jc w:val="both"/>
        <w:rPr>
          <w:rFonts w:ascii="Arial" w:hAnsi="Arial" w:cs="Arial"/>
          <w:sz w:val="24"/>
          <w:szCs w:val="24"/>
        </w:rPr>
      </w:pPr>
    </w:p>
    <w:p w14:paraId="0DC18DDB" w14:textId="77777777" w:rsidR="00962F08" w:rsidRPr="00586CC0" w:rsidRDefault="00962F08" w:rsidP="00962F08">
      <w:pPr>
        <w:pStyle w:val="ListParagraph"/>
        <w:numPr>
          <w:ilvl w:val="0"/>
          <w:numId w:val="24"/>
        </w:numPr>
        <w:spacing w:after="0" w:line="240" w:lineRule="auto"/>
        <w:jc w:val="both"/>
        <w:rPr>
          <w:rFonts w:ascii="Arial" w:hAnsi="Arial" w:cs="Arial"/>
          <w:sz w:val="24"/>
          <w:szCs w:val="24"/>
        </w:rPr>
      </w:pPr>
      <w:r w:rsidRPr="00586CC0">
        <w:rPr>
          <w:rFonts w:ascii="Arial" w:hAnsi="Arial" w:cs="Arial"/>
          <w:sz w:val="24"/>
          <w:szCs w:val="24"/>
        </w:rPr>
        <w:lastRenderedPageBreak/>
        <w:t xml:space="preserve">Agreement for </w:t>
      </w:r>
      <w:proofErr w:type="spellStart"/>
      <w:r>
        <w:rPr>
          <w:rFonts w:ascii="Arial" w:hAnsi="Arial" w:cs="Arial"/>
          <w:sz w:val="24"/>
          <w:szCs w:val="24"/>
        </w:rPr>
        <w:t>Sub</w:t>
      </w:r>
      <w:r w:rsidRPr="00586CC0">
        <w:rPr>
          <w:rFonts w:ascii="Arial" w:hAnsi="Arial" w:cs="Arial"/>
          <w:sz w:val="24"/>
          <w:szCs w:val="24"/>
        </w:rPr>
        <w:t>Lease</w:t>
      </w:r>
      <w:proofErr w:type="spellEnd"/>
      <w:r>
        <w:rPr>
          <w:rFonts w:ascii="Arial" w:hAnsi="Arial" w:cs="Arial"/>
          <w:sz w:val="24"/>
          <w:szCs w:val="24"/>
        </w:rPr>
        <w:t>;</w:t>
      </w:r>
      <w:r w:rsidRPr="00586CC0">
        <w:rPr>
          <w:rFonts w:ascii="Arial" w:hAnsi="Arial" w:cs="Arial"/>
          <w:sz w:val="24"/>
          <w:szCs w:val="24"/>
        </w:rPr>
        <w:t xml:space="preserve"> and</w:t>
      </w:r>
    </w:p>
    <w:p w14:paraId="556BBC89" w14:textId="77777777" w:rsidR="00962F08" w:rsidRDefault="00962F08" w:rsidP="00962F08">
      <w:pPr>
        <w:pStyle w:val="ListParagraph"/>
        <w:numPr>
          <w:ilvl w:val="0"/>
          <w:numId w:val="24"/>
        </w:numPr>
        <w:spacing w:after="0" w:line="240" w:lineRule="auto"/>
        <w:jc w:val="both"/>
        <w:rPr>
          <w:rFonts w:ascii="Arial" w:hAnsi="Arial" w:cs="Arial"/>
          <w:sz w:val="24"/>
          <w:szCs w:val="24"/>
        </w:rPr>
      </w:pPr>
      <w:r w:rsidRPr="00586CC0">
        <w:rPr>
          <w:rFonts w:ascii="Arial" w:hAnsi="Arial" w:cs="Arial"/>
          <w:sz w:val="24"/>
          <w:szCs w:val="24"/>
        </w:rPr>
        <w:t>Lease</w:t>
      </w:r>
      <w:r>
        <w:rPr>
          <w:rFonts w:ascii="Arial" w:hAnsi="Arial" w:cs="Arial"/>
          <w:sz w:val="24"/>
          <w:szCs w:val="24"/>
        </w:rPr>
        <w:t xml:space="preserve"> / </w:t>
      </w:r>
      <w:proofErr w:type="spellStart"/>
      <w:r>
        <w:rPr>
          <w:rFonts w:ascii="Arial" w:hAnsi="Arial" w:cs="Arial"/>
          <w:sz w:val="24"/>
          <w:szCs w:val="24"/>
        </w:rPr>
        <w:t>SubLease</w:t>
      </w:r>
      <w:proofErr w:type="spellEnd"/>
      <w:r>
        <w:rPr>
          <w:rFonts w:ascii="Arial" w:hAnsi="Arial" w:cs="Arial"/>
          <w:sz w:val="24"/>
          <w:szCs w:val="24"/>
        </w:rPr>
        <w:t>.</w:t>
      </w:r>
    </w:p>
    <w:p w14:paraId="212CB388" w14:textId="77777777" w:rsidR="00962F08" w:rsidRPr="00586CC0" w:rsidRDefault="00962F08" w:rsidP="00962F08">
      <w:pPr>
        <w:spacing w:after="0" w:line="240" w:lineRule="auto"/>
        <w:jc w:val="both"/>
        <w:rPr>
          <w:rFonts w:ascii="Arial" w:hAnsi="Arial" w:cs="Arial"/>
          <w:sz w:val="24"/>
          <w:szCs w:val="24"/>
        </w:rPr>
      </w:pPr>
    </w:p>
    <w:p w14:paraId="4AF02120" w14:textId="77777777" w:rsidR="00962F08" w:rsidRPr="00EA04D0" w:rsidRDefault="00962F08" w:rsidP="00962F08">
      <w:pPr>
        <w:spacing w:after="0" w:line="240" w:lineRule="auto"/>
        <w:jc w:val="both"/>
        <w:rPr>
          <w:rFonts w:ascii="Arial" w:hAnsi="Arial" w:cs="Arial"/>
          <w:b/>
          <w:bCs/>
          <w:sz w:val="24"/>
          <w:szCs w:val="24"/>
        </w:rPr>
      </w:pPr>
      <w:r w:rsidRPr="00EA04D0">
        <w:rPr>
          <w:rFonts w:ascii="Arial" w:hAnsi="Arial" w:cs="Arial"/>
          <w:b/>
          <w:bCs/>
          <w:sz w:val="24"/>
          <w:szCs w:val="24"/>
        </w:rPr>
        <w:t>What happens if the Heads of Agreement is not approved?</w:t>
      </w:r>
    </w:p>
    <w:p w14:paraId="7933B5B8" w14:textId="77777777" w:rsidR="00962F08" w:rsidRPr="00586CC0" w:rsidRDefault="00962F08" w:rsidP="00962F08">
      <w:pPr>
        <w:spacing w:after="0" w:line="240" w:lineRule="auto"/>
        <w:jc w:val="both"/>
        <w:rPr>
          <w:rFonts w:ascii="Arial" w:hAnsi="Arial" w:cs="Arial"/>
          <w:sz w:val="24"/>
          <w:szCs w:val="24"/>
        </w:rPr>
      </w:pPr>
    </w:p>
    <w:p w14:paraId="4FCF3FAA" w14:textId="77777777" w:rsidR="00962F08" w:rsidRDefault="00962F08" w:rsidP="00962F08">
      <w:pPr>
        <w:spacing w:after="0" w:line="240" w:lineRule="auto"/>
        <w:jc w:val="both"/>
        <w:rPr>
          <w:rFonts w:ascii="Arial" w:hAnsi="Arial" w:cs="Arial"/>
          <w:sz w:val="24"/>
          <w:szCs w:val="24"/>
        </w:rPr>
      </w:pPr>
      <w:r w:rsidRPr="00586CC0">
        <w:rPr>
          <w:rFonts w:ascii="Arial" w:hAnsi="Arial" w:cs="Arial"/>
          <w:sz w:val="24"/>
          <w:szCs w:val="24"/>
        </w:rPr>
        <w:t xml:space="preserve">Should Council not approve the conditions within the </w:t>
      </w:r>
      <w:r>
        <w:rPr>
          <w:rFonts w:ascii="Arial" w:hAnsi="Arial" w:cs="Arial"/>
          <w:sz w:val="24"/>
          <w:szCs w:val="24"/>
        </w:rPr>
        <w:t>HOA</w:t>
      </w:r>
      <w:r w:rsidRPr="00586CC0">
        <w:rPr>
          <w:rFonts w:ascii="Arial" w:hAnsi="Arial" w:cs="Arial"/>
          <w:sz w:val="24"/>
          <w:szCs w:val="24"/>
        </w:rPr>
        <w:t>, the options are then</w:t>
      </w:r>
      <w:r>
        <w:rPr>
          <w:rFonts w:ascii="Arial" w:hAnsi="Arial" w:cs="Arial"/>
          <w:sz w:val="24"/>
          <w:szCs w:val="24"/>
        </w:rPr>
        <w:t xml:space="preserve"> to</w:t>
      </w:r>
      <w:r w:rsidRPr="00586CC0">
        <w:rPr>
          <w:rFonts w:ascii="Arial" w:hAnsi="Arial" w:cs="Arial"/>
          <w:sz w:val="24"/>
          <w:szCs w:val="24"/>
        </w:rPr>
        <w:t>;</w:t>
      </w:r>
    </w:p>
    <w:p w14:paraId="5CCA4548" w14:textId="77777777" w:rsidR="00962F08" w:rsidRPr="007E6B4B" w:rsidRDefault="00962F08" w:rsidP="00962F08">
      <w:pPr>
        <w:spacing w:after="0" w:line="240" w:lineRule="auto"/>
        <w:jc w:val="both"/>
        <w:rPr>
          <w:rFonts w:ascii="Arial" w:hAnsi="Arial" w:cs="Arial"/>
          <w:color w:val="000000" w:themeColor="text1"/>
          <w:sz w:val="24"/>
          <w:szCs w:val="24"/>
        </w:rPr>
      </w:pPr>
    </w:p>
    <w:p w14:paraId="56D0C3E8" w14:textId="77777777" w:rsidR="00962F08" w:rsidRPr="00827D5E" w:rsidRDefault="00962F08" w:rsidP="00962F08">
      <w:pPr>
        <w:pStyle w:val="ListParagraph"/>
        <w:numPr>
          <w:ilvl w:val="0"/>
          <w:numId w:val="27"/>
        </w:numPr>
        <w:spacing w:after="0" w:line="240" w:lineRule="auto"/>
        <w:jc w:val="both"/>
        <w:rPr>
          <w:rFonts w:ascii="Arial" w:hAnsi="Arial" w:cs="Arial"/>
          <w:color w:val="000000" w:themeColor="text1"/>
          <w:sz w:val="24"/>
          <w:szCs w:val="24"/>
        </w:rPr>
      </w:pPr>
      <w:r w:rsidRPr="00827D5E">
        <w:rPr>
          <w:rFonts w:ascii="Arial" w:hAnsi="Arial" w:cs="Arial"/>
          <w:color w:val="000000" w:themeColor="text1"/>
          <w:sz w:val="24"/>
          <w:szCs w:val="24"/>
        </w:rPr>
        <w:t>Specify the objections and preferred conditions and re-negotiate with the proponents;</w:t>
      </w:r>
      <w:r>
        <w:rPr>
          <w:rFonts w:ascii="Arial" w:hAnsi="Arial" w:cs="Arial"/>
          <w:color w:val="000000" w:themeColor="text1"/>
          <w:sz w:val="24"/>
          <w:szCs w:val="24"/>
        </w:rPr>
        <w:t xml:space="preserve"> or</w:t>
      </w:r>
    </w:p>
    <w:p w14:paraId="21F87293" w14:textId="77777777" w:rsidR="00962F08" w:rsidRPr="00827D5E" w:rsidRDefault="00962F08" w:rsidP="00962F08">
      <w:pPr>
        <w:pStyle w:val="ListParagraph"/>
        <w:numPr>
          <w:ilvl w:val="0"/>
          <w:numId w:val="27"/>
        </w:numPr>
        <w:spacing w:after="0" w:line="240" w:lineRule="auto"/>
        <w:jc w:val="both"/>
        <w:rPr>
          <w:rFonts w:ascii="Arial" w:hAnsi="Arial" w:cs="Arial"/>
          <w:color w:val="000000" w:themeColor="text1"/>
          <w:sz w:val="24"/>
          <w:szCs w:val="24"/>
        </w:rPr>
      </w:pPr>
      <w:r w:rsidRPr="00827D5E">
        <w:rPr>
          <w:rFonts w:ascii="Arial" w:hAnsi="Arial" w:cs="Arial"/>
          <w:color w:val="000000" w:themeColor="text1"/>
          <w:sz w:val="24"/>
          <w:szCs w:val="24"/>
        </w:rPr>
        <w:t xml:space="preserve">Determine that the project should not proceed.  Clause 1.30 of the RFP states that </w:t>
      </w:r>
      <w:r>
        <w:rPr>
          <w:rFonts w:ascii="Arial" w:hAnsi="Arial" w:cs="Arial"/>
          <w:color w:val="000000" w:themeColor="text1"/>
          <w:sz w:val="24"/>
          <w:szCs w:val="24"/>
        </w:rPr>
        <w:t>“</w:t>
      </w:r>
      <w:r w:rsidRPr="00067197">
        <w:rPr>
          <w:rFonts w:ascii="Arial" w:hAnsi="Arial" w:cs="Arial"/>
          <w:i/>
          <w:iCs/>
          <w:color w:val="000000" w:themeColor="text1"/>
          <w:sz w:val="24"/>
          <w:szCs w:val="24"/>
        </w:rPr>
        <w:t>No contractual relationship or other obligation arises between the City and a Proponent until the City and the successful Proponent formally exchange signed counterparts of the conditional a conditional Agreement to Lease/Sublease or Lease/Sublease. This clause applies despite any oral or written advice to the Proponent that a Proposal is successful or has been, or will be, accepted.”</w:t>
      </w:r>
      <w:r>
        <w:rPr>
          <w:rFonts w:ascii="Arial" w:hAnsi="Arial" w:cs="Arial"/>
          <w:i/>
          <w:iCs/>
          <w:color w:val="000000" w:themeColor="text1"/>
          <w:sz w:val="24"/>
          <w:szCs w:val="24"/>
        </w:rPr>
        <w:t xml:space="preserve">; </w:t>
      </w:r>
      <w:r w:rsidRPr="00AC4496">
        <w:rPr>
          <w:rFonts w:ascii="Arial" w:hAnsi="Arial" w:cs="Arial"/>
          <w:color w:val="000000" w:themeColor="text1"/>
          <w:sz w:val="24"/>
          <w:szCs w:val="24"/>
        </w:rPr>
        <w:t>or</w:t>
      </w:r>
    </w:p>
    <w:p w14:paraId="53503C54" w14:textId="77777777" w:rsidR="00962F08" w:rsidRPr="00854D42" w:rsidRDefault="00962F08" w:rsidP="00962F08">
      <w:pPr>
        <w:pStyle w:val="ListParagraph"/>
        <w:numPr>
          <w:ilvl w:val="0"/>
          <w:numId w:val="27"/>
        </w:numPr>
        <w:spacing w:after="0" w:line="240" w:lineRule="auto"/>
        <w:jc w:val="both"/>
        <w:rPr>
          <w:rFonts w:ascii="Arial" w:hAnsi="Arial" w:cs="Arial"/>
          <w:color w:val="000000" w:themeColor="text1"/>
          <w:sz w:val="24"/>
          <w:szCs w:val="24"/>
        </w:rPr>
      </w:pPr>
      <w:r w:rsidRPr="00854D42">
        <w:rPr>
          <w:rFonts w:ascii="Arial" w:hAnsi="Arial" w:cs="Arial"/>
          <w:color w:val="000000" w:themeColor="text1"/>
          <w:sz w:val="24"/>
          <w:szCs w:val="24"/>
        </w:rPr>
        <w:t xml:space="preserve">Not proceed </w:t>
      </w:r>
      <w:r>
        <w:rPr>
          <w:rFonts w:ascii="Arial" w:hAnsi="Arial" w:cs="Arial"/>
          <w:color w:val="000000" w:themeColor="text1"/>
          <w:sz w:val="24"/>
          <w:szCs w:val="24"/>
        </w:rPr>
        <w:t xml:space="preserve">– </w:t>
      </w:r>
      <w:r w:rsidRPr="00854D42">
        <w:rPr>
          <w:rFonts w:ascii="Arial" w:hAnsi="Arial" w:cs="Arial"/>
          <w:color w:val="000000" w:themeColor="text1"/>
          <w:sz w:val="24"/>
          <w:szCs w:val="24"/>
        </w:rPr>
        <w:t>return</w:t>
      </w:r>
      <w:r>
        <w:rPr>
          <w:rFonts w:ascii="Arial" w:hAnsi="Arial" w:cs="Arial"/>
          <w:color w:val="000000" w:themeColor="text1"/>
          <w:sz w:val="24"/>
          <w:szCs w:val="24"/>
        </w:rPr>
        <w:t xml:space="preserve"> site</w:t>
      </w:r>
      <w:r w:rsidRPr="00854D42">
        <w:rPr>
          <w:rFonts w:ascii="Arial" w:hAnsi="Arial" w:cs="Arial"/>
          <w:color w:val="000000" w:themeColor="text1"/>
          <w:sz w:val="24"/>
          <w:szCs w:val="24"/>
        </w:rPr>
        <w:t xml:space="preserve"> to </w:t>
      </w:r>
      <w:proofErr w:type="gramStart"/>
      <w:r w:rsidRPr="00854D42">
        <w:rPr>
          <w:rFonts w:ascii="Arial" w:hAnsi="Arial" w:cs="Arial"/>
          <w:color w:val="000000" w:themeColor="text1"/>
          <w:sz w:val="24"/>
          <w:szCs w:val="24"/>
        </w:rPr>
        <w:t>parkland</w:t>
      </w:r>
      <w:r>
        <w:rPr>
          <w:rFonts w:ascii="Arial" w:hAnsi="Arial" w:cs="Arial"/>
          <w:color w:val="000000" w:themeColor="text1"/>
          <w:sz w:val="24"/>
          <w:szCs w:val="24"/>
        </w:rPr>
        <w:t>, or</w:t>
      </w:r>
      <w:proofErr w:type="gramEnd"/>
      <w:r>
        <w:rPr>
          <w:rFonts w:ascii="Arial" w:hAnsi="Arial" w:cs="Arial"/>
          <w:color w:val="000000" w:themeColor="text1"/>
          <w:sz w:val="24"/>
          <w:szCs w:val="24"/>
        </w:rPr>
        <w:t xml:space="preserve"> seek a fresh Expression of Interest.</w:t>
      </w:r>
    </w:p>
    <w:p w14:paraId="482754EE" w14:textId="77777777" w:rsidR="00962F08" w:rsidRPr="00586CC0" w:rsidRDefault="00962F08" w:rsidP="00962F08">
      <w:pPr>
        <w:spacing w:after="0" w:line="240" w:lineRule="auto"/>
        <w:jc w:val="both"/>
        <w:rPr>
          <w:rFonts w:ascii="Arial" w:hAnsi="Arial" w:cs="Arial"/>
          <w:sz w:val="24"/>
          <w:szCs w:val="24"/>
        </w:rPr>
      </w:pPr>
    </w:p>
    <w:p w14:paraId="27F21650" w14:textId="77777777" w:rsidR="00962F08" w:rsidRPr="00586CC0" w:rsidRDefault="00962F08" w:rsidP="00962F08">
      <w:pPr>
        <w:spacing w:after="0" w:line="240" w:lineRule="auto"/>
        <w:jc w:val="both"/>
        <w:rPr>
          <w:rFonts w:ascii="Arial" w:hAnsi="Arial" w:cs="Arial"/>
          <w:sz w:val="24"/>
          <w:szCs w:val="24"/>
        </w:rPr>
      </w:pPr>
      <w:r>
        <w:rPr>
          <w:rFonts w:ascii="Arial" w:hAnsi="Arial" w:cs="Arial"/>
          <w:sz w:val="24"/>
          <w:szCs w:val="24"/>
        </w:rPr>
        <w:t>It should be noted that, should the project not proceed, the City will continue to remain in possession of a derelict building that cannot be used or leased in its current state, with an estimated cost of $75,000 incl. GST to demolish.</w:t>
      </w:r>
    </w:p>
    <w:p w14:paraId="0D4ECB77" w14:textId="77777777" w:rsidR="00962F08" w:rsidRPr="00586CC0" w:rsidRDefault="00962F08" w:rsidP="00962F08">
      <w:pPr>
        <w:spacing w:after="0" w:line="240" w:lineRule="auto"/>
        <w:jc w:val="both"/>
        <w:rPr>
          <w:rFonts w:ascii="Arial" w:hAnsi="Arial" w:cs="Arial"/>
          <w:sz w:val="24"/>
          <w:szCs w:val="24"/>
        </w:rPr>
      </w:pPr>
    </w:p>
    <w:p w14:paraId="22E043E3" w14:textId="77777777" w:rsidR="00962F08" w:rsidRPr="006E7D9F" w:rsidRDefault="00962F08" w:rsidP="00962F08">
      <w:pPr>
        <w:spacing w:after="0" w:line="240" w:lineRule="auto"/>
        <w:jc w:val="both"/>
        <w:rPr>
          <w:rFonts w:ascii="Arial" w:hAnsi="Arial" w:cs="Arial"/>
          <w:b/>
          <w:bCs/>
          <w:sz w:val="24"/>
          <w:szCs w:val="24"/>
        </w:rPr>
      </w:pPr>
      <w:r w:rsidRPr="006E7D9F">
        <w:rPr>
          <w:rFonts w:ascii="Arial" w:hAnsi="Arial" w:cs="Arial"/>
          <w:b/>
          <w:bCs/>
          <w:sz w:val="24"/>
          <w:szCs w:val="24"/>
        </w:rPr>
        <w:t>Risks</w:t>
      </w:r>
    </w:p>
    <w:p w14:paraId="10992306" w14:textId="77777777" w:rsidR="00962F08" w:rsidRDefault="00962F08" w:rsidP="00962F08">
      <w:pPr>
        <w:spacing w:after="0" w:line="240" w:lineRule="auto"/>
        <w:jc w:val="both"/>
        <w:rPr>
          <w:rFonts w:ascii="Arial" w:hAnsi="Arial" w:cs="Arial"/>
          <w:sz w:val="24"/>
          <w:szCs w:val="24"/>
        </w:rPr>
      </w:pPr>
    </w:p>
    <w:p w14:paraId="5DE16290" w14:textId="77777777" w:rsidR="00962F08" w:rsidRDefault="00962F08" w:rsidP="00962F08">
      <w:pPr>
        <w:spacing w:after="0" w:line="240" w:lineRule="auto"/>
        <w:jc w:val="both"/>
        <w:rPr>
          <w:rFonts w:ascii="Arial" w:hAnsi="Arial" w:cs="Arial"/>
          <w:sz w:val="24"/>
          <w:szCs w:val="24"/>
        </w:rPr>
      </w:pPr>
      <w:r>
        <w:rPr>
          <w:rFonts w:ascii="Arial" w:hAnsi="Arial" w:cs="Arial"/>
          <w:sz w:val="24"/>
          <w:szCs w:val="24"/>
        </w:rPr>
        <w:t>A full risk assessment has been undertaken on the project.  Some of the key risks that are present at this stage relate to financial, reputation and site risk.  These are summarised on the next three pages:</w:t>
      </w:r>
    </w:p>
    <w:p w14:paraId="2A8F0FCC" w14:textId="77777777" w:rsidR="00962F08" w:rsidRDefault="00962F08" w:rsidP="00962F08">
      <w:pPr>
        <w:spacing w:after="0" w:line="240" w:lineRule="auto"/>
        <w:jc w:val="both"/>
        <w:rPr>
          <w:rFonts w:ascii="Arial" w:hAnsi="Arial" w:cs="Arial"/>
          <w:sz w:val="24"/>
          <w:szCs w:val="24"/>
        </w:rPr>
      </w:pPr>
    </w:p>
    <w:tbl>
      <w:tblPr>
        <w:tblStyle w:val="TableGrid"/>
        <w:tblW w:w="9067" w:type="dxa"/>
        <w:tblLook w:val="04A0" w:firstRow="1" w:lastRow="0" w:firstColumn="1" w:lastColumn="0" w:noHBand="0" w:noVBand="1"/>
      </w:tblPr>
      <w:tblGrid>
        <w:gridCol w:w="4673"/>
        <w:gridCol w:w="4394"/>
      </w:tblGrid>
      <w:tr w:rsidR="00962F08" w14:paraId="45E3D10B" w14:textId="77777777" w:rsidTr="004D159E">
        <w:tc>
          <w:tcPr>
            <w:tcW w:w="4673" w:type="dxa"/>
            <w:shd w:val="clear" w:color="auto" w:fill="1F497D" w:themeFill="text2"/>
          </w:tcPr>
          <w:p w14:paraId="4D5DC4A6" w14:textId="77777777" w:rsidR="00962F08" w:rsidRPr="003F39F2" w:rsidRDefault="00962F08" w:rsidP="004D159E">
            <w:pPr>
              <w:jc w:val="both"/>
              <w:rPr>
                <w:rFonts w:ascii="Arial" w:hAnsi="Arial" w:cs="Arial"/>
                <w:b/>
                <w:bCs/>
                <w:color w:val="FFFFFF" w:themeColor="background1"/>
                <w:sz w:val="24"/>
                <w:szCs w:val="24"/>
              </w:rPr>
            </w:pPr>
            <w:r w:rsidRPr="003F39F2">
              <w:rPr>
                <w:rFonts w:ascii="Arial" w:hAnsi="Arial" w:cs="Arial"/>
                <w:b/>
                <w:bCs/>
                <w:color w:val="FFFFFF" w:themeColor="background1"/>
                <w:sz w:val="24"/>
                <w:szCs w:val="24"/>
              </w:rPr>
              <w:t>Risk</w:t>
            </w:r>
          </w:p>
        </w:tc>
        <w:tc>
          <w:tcPr>
            <w:tcW w:w="4394" w:type="dxa"/>
            <w:shd w:val="clear" w:color="auto" w:fill="1F497D" w:themeFill="text2"/>
          </w:tcPr>
          <w:p w14:paraId="214DEF58" w14:textId="77777777" w:rsidR="00962F08" w:rsidRPr="003F39F2" w:rsidRDefault="00962F08" w:rsidP="004D159E">
            <w:pPr>
              <w:jc w:val="both"/>
              <w:rPr>
                <w:rFonts w:ascii="Arial" w:hAnsi="Arial" w:cs="Arial"/>
                <w:b/>
                <w:bCs/>
                <w:color w:val="FFFFFF" w:themeColor="background1"/>
                <w:sz w:val="24"/>
                <w:szCs w:val="24"/>
              </w:rPr>
            </w:pPr>
            <w:r w:rsidRPr="003F39F2">
              <w:rPr>
                <w:rFonts w:ascii="Arial" w:hAnsi="Arial" w:cs="Arial"/>
                <w:b/>
                <w:bCs/>
                <w:color w:val="FFFFFF" w:themeColor="background1"/>
                <w:sz w:val="24"/>
                <w:szCs w:val="24"/>
              </w:rPr>
              <w:t>Mitigation</w:t>
            </w:r>
          </w:p>
        </w:tc>
      </w:tr>
      <w:tr w:rsidR="00962F08" w14:paraId="362F42C8" w14:textId="77777777" w:rsidTr="004D159E">
        <w:tc>
          <w:tcPr>
            <w:tcW w:w="4673" w:type="dxa"/>
          </w:tcPr>
          <w:p w14:paraId="4FD7772D" w14:textId="77777777" w:rsidR="00962F08" w:rsidRPr="00C03F40" w:rsidRDefault="00962F08" w:rsidP="004D159E">
            <w:pPr>
              <w:rPr>
                <w:rFonts w:ascii="Arial" w:hAnsi="Arial" w:cs="Arial"/>
                <w:b/>
                <w:bCs/>
                <w:sz w:val="24"/>
                <w:szCs w:val="24"/>
              </w:rPr>
            </w:pPr>
            <w:r w:rsidRPr="00C03F40">
              <w:rPr>
                <w:rFonts w:ascii="Arial" w:hAnsi="Arial" w:cs="Arial"/>
                <w:b/>
                <w:bCs/>
                <w:sz w:val="24"/>
                <w:szCs w:val="24"/>
              </w:rPr>
              <w:t>Financial Risk</w:t>
            </w:r>
          </w:p>
          <w:p w14:paraId="1803CD92" w14:textId="77777777" w:rsidR="00962F08" w:rsidRDefault="00962F08" w:rsidP="004D159E">
            <w:pPr>
              <w:rPr>
                <w:rFonts w:ascii="Arial" w:hAnsi="Arial" w:cs="Arial"/>
                <w:sz w:val="24"/>
                <w:szCs w:val="24"/>
              </w:rPr>
            </w:pPr>
          </w:p>
          <w:p w14:paraId="64F213CF" w14:textId="77777777" w:rsidR="00962F08" w:rsidRDefault="00962F08" w:rsidP="004D159E">
            <w:pPr>
              <w:rPr>
                <w:rFonts w:ascii="Arial" w:hAnsi="Arial" w:cs="Arial"/>
                <w:sz w:val="24"/>
                <w:szCs w:val="24"/>
              </w:rPr>
            </w:pPr>
            <w:r>
              <w:rPr>
                <w:rFonts w:ascii="Arial" w:hAnsi="Arial" w:cs="Arial"/>
                <w:sz w:val="24"/>
                <w:szCs w:val="24"/>
              </w:rPr>
              <w:t>Proceeding with the HOA presents a positive financial opportunity to the City, in that it allows for the generation of a new rent revenue stream for the City to replace the previously ended lease for the site.</w:t>
            </w:r>
          </w:p>
          <w:p w14:paraId="35EEC7C3" w14:textId="77777777" w:rsidR="00962F08" w:rsidRDefault="00962F08" w:rsidP="004D159E">
            <w:pPr>
              <w:rPr>
                <w:rFonts w:ascii="Arial" w:hAnsi="Arial" w:cs="Arial"/>
                <w:sz w:val="24"/>
                <w:szCs w:val="24"/>
              </w:rPr>
            </w:pPr>
          </w:p>
          <w:p w14:paraId="24725C55" w14:textId="77777777" w:rsidR="00962F08" w:rsidRDefault="00962F08" w:rsidP="004D159E">
            <w:pPr>
              <w:rPr>
                <w:rFonts w:ascii="Arial" w:hAnsi="Arial" w:cs="Arial"/>
                <w:sz w:val="24"/>
                <w:szCs w:val="24"/>
              </w:rPr>
            </w:pPr>
            <w:r>
              <w:rPr>
                <w:rFonts w:ascii="Arial" w:hAnsi="Arial" w:cs="Arial"/>
                <w:sz w:val="24"/>
                <w:szCs w:val="24"/>
              </w:rPr>
              <w:t>There is a financial risk however that the business is not as successful and attract as much interest as initially anticipated, particularly given the current economy.    This would impact the turnover of the business received by THS.</w:t>
            </w:r>
          </w:p>
          <w:p w14:paraId="524CF036" w14:textId="77777777" w:rsidR="00962F08" w:rsidRDefault="00962F08" w:rsidP="004D159E">
            <w:pPr>
              <w:rPr>
                <w:rFonts w:ascii="Arial" w:hAnsi="Arial" w:cs="Arial"/>
                <w:sz w:val="24"/>
                <w:szCs w:val="24"/>
              </w:rPr>
            </w:pPr>
          </w:p>
          <w:p w14:paraId="6CA81E75" w14:textId="77777777" w:rsidR="00962F08" w:rsidRDefault="00962F08" w:rsidP="004D159E">
            <w:pPr>
              <w:rPr>
                <w:rFonts w:ascii="Arial" w:hAnsi="Arial" w:cs="Arial"/>
                <w:sz w:val="24"/>
                <w:szCs w:val="24"/>
              </w:rPr>
            </w:pPr>
            <w:r>
              <w:rPr>
                <w:rFonts w:ascii="Arial" w:hAnsi="Arial" w:cs="Arial"/>
                <w:sz w:val="24"/>
                <w:szCs w:val="24"/>
              </w:rPr>
              <w:t xml:space="preserve">There is also the financial risk that, in proceeding with the HOA, that the City may be missing out on opportunities with other developers that </w:t>
            </w:r>
            <w:proofErr w:type="gramStart"/>
            <w:r>
              <w:rPr>
                <w:rFonts w:ascii="Arial" w:hAnsi="Arial" w:cs="Arial"/>
                <w:sz w:val="24"/>
                <w:szCs w:val="24"/>
              </w:rPr>
              <w:t xml:space="preserve">have the </w:t>
            </w:r>
            <w:r>
              <w:rPr>
                <w:rFonts w:ascii="Arial" w:hAnsi="Arial" w:cs="Arial"/>
                <w:sz w:val="24"/>
                <w:szCs w:val="24"/>
              </w:rPr>
              <w:lastRenderedPageBreak/>
              <w:t>opportunity to</w:t>
            </w:r>
            <w:proofErr w:type="gramEnd"/>
            <w:r>
              <w:rPr>
                <w:rFonts w:ascii="Arial" w:hAnsi="Arial" w:cs="Arial"/>
                <w:sz w:val="24"/>
                <w:szCs w:val="24"/>
              </w:rPr>
              <w:t xml:space="preserve"> generate a higher rental income.  </w:t>
            </w:r>
          </w:p>
          <w:p w14:paraId="08A55C5A" w14:textId="77777777" w:rsidR="00962F08" w:rsidRDefault="00962F08" w:rsidP="004D159E">
            <w:pPr>
              <w:rPr>
                <w:rFonts w:ascii="Arial" w:hAnsi="Arial" w:cs="Arial"/>
                <w:sz w:val="24"/>
                <w:szCs w:val="24"/>
              </w:rPr>
            </w:pPr>
          </w:p>
          <w:p w14:paraId="4AD4A743" w14:textId="77777777" w:rsidR="00962F08" w:rsidRDefault="00962F08" w:rsidP="004D159E">
            <w:pPr>
              <w:rPr>
                <w:rFonts w:ascii="Arial" w:hAnsi="Arial" w:cs="Arial"/>
                <w:sz w:val="24"/>
                <w:szCs w:val="24"/>
              </w:rPr>
            </w:pPr>
            <w:r>
              <w:rPr>
                <w:rFonts w:ascii="Arial" w:hAnsi="Arial" w:cs="Arial"/>
                <w:sz w:val="24"/>
                <w:szCs w:val="24"/>
              </w:rPr>
              <w:t>In not proceeding with the HOA, the City misses out on this opportunity to replace the recently ceased rent revenue stream for Tawarri, and will continue incurring expenses for management of the existing infrastructure and land</w:t>
            </w:r>
          </w:p>
        </w:tc>
        <w:tc>
          <w:tcPr>
            <w:tcW w:w="4394" w:type="dxa"/>
          </w:tcPr>
          <w:p w14:paraId="5B218284" w14:textId="77777777" w:rsidR="00962F08" w:rsidRDefault="00962F08" w:rsidP="004D159E">
            <w:pPr>
              <w:rPr>
                <w:rFonts w:ascii="Arial" w:hAnsi="Arial" w:cs="Arial"/>
                <w:b/>
                <w:bCs/>
                <w:sz w:val="24"/>
                <w:szCs w:val="24"/>
              </w:rPr>
            </w:pPr>
            <w:r w:rsidRPr="00C03F40">
              <w:rPr>
                <w:rFonts w:ascii="Arial" w:hAnsi="Arial" w:cs="Arial"/>
                <w:b/>
                <w:bCs/>
                <w:sz w:val="24"/>
                <w:szCs w:val="24"/>
              </w:rPr>
              <w:lastRenderedPageBreak/>
              <w:t>Financial Risk</w:t>
            </w:r>
          </w:p>
          <w:p w14:paraId="2F98DF3D" w14:textId="77777777" w:rsidR="00962F08" w:rsidRPr="00C03F40" w:rsidRDefault="00962F08" w:rsidP="004D159E">
            <w:pPr>
              <w:rPr>
                <w:rFonts w:ascii="Arial" w:hAnsi="Arial" w:cs="Arial"/>
                <w:b/>
                <w:bCs/>
                <w:sz w:val="24"/>
                <w:szCs w:val="24"/>
              </w:rPr>
            </w:pPr>
          </w:p>
          <w:p w14:paraId="16B90679" w14:textId="77777777" w:rsidR="00962F08" w:rsidRDefault="00962F08" w:rsidP="004D159E">
            <w:pPr>
              <w:rPr>
                <w:rFonts w:ascii="Arial" w:hAnsi="Arial" w:cs="Arial"/>
                <w:sz w:val="24"/>
                <w:szCs w:val="24"/>
                <w:lang w:val="en-US"/>
              </w:rPr>
            </w:pPr>
            <w:r>
              <w:rPr>
                <w:rFonts w:ascii="Arial" w:hAnsi="Arial" w:cs="Arial"/>
                <w:sz w:val="24"/>
                <w:szCs w:val="24"/>
                <w:lang w:val="en-US"/>
              </w:rPr>
              <w:t>The proposal by THS has been determined as the most suitable offering as a result of the RFP process.</w:t>
            </w:r>
          </w:p>
          <w:p w14:paraId="533A053B" w14:textId="77777777" w:rsidR="00962F08" w:rsidRDefault="00962F08" w:rsidP="004D159E">
            <w:pPr>
              <w:rPr>
                <w:rFonts w:ascii="Arial" w:hAnsi="Arial" w:cs="Arial"/>
                <w:sz w:val="24"/>
                <w:szCs w:val="24"/>
              </w:rPr>
            </w:pPr>
          </w:p>
          <w:p w14:paraId="73E787E4" w14:textId="77777777" w:rsidR="00962F08" w:rsidRDefault="00962F08" w:rsidP="004D159E">
            <w:pPr>
              <w:rPr>
                <w:rFonts w:ascii="Arial" w:hAnsi="Arial" w:cs="Arial"/>
                <w:sz w:val="24"/>
                <w:szCs w:val="24"/>
              </w:rPr>
            </w:pPr>
            <w:r>
              <w:rPr>
                <w:rFonts w:ascii="Arial" w:hAnsi="Arial" w:cs="Arial"/>
                <w:sz w:val="24"/>
                <w:szCs w:val="24"/>
              </w:rPr>
              <w:t xml:space="preserve">The base rent negotiated in the HOA ensures the City receives a rent 22 months after the commencement of the </w:t>
            </w:r>
            <w:proofErr w:type="spellStart"/>
            <w:r>
              <w:rPr>
                <w:rFonts w:ascii="Arial" w:hAnsi="Arial" w:cs="Arial"/>
                <w:sz w:val="24"/>
                <w:szCs w:val="24"/>
              </w:rPr>
              <w:t>SubLease</w:t>
            </w:r>
            <w:proofErr w:type="spellEnd"/>
            <w:r>
              <w:rPr>
                <w:rFonts w:ascii="Arial" w:hAnsi="Arial" w:cs="Arial"/>
                <w:sz w:val="24"/>
                <w:szCs w:val="24"/>
              </w:rPr>
              <w:t>, regardless of any delays or factors that impact the success or start-up of the business.</w:t>
            </w:r>
          </w:p>
          <w:p w14:paraId="14551F68" w14:textId="77777777" w:rsidR="00962F08" w:rsidRDefault="00962F08" w:rsidP="004D159E">
            <w:pPr>
              <w:rPr>
                <w:rFonts w:ascii="Arial" w:hAnsi="Arial" w:cs="Arial"/>
                <w:sz w:val="24"/>
                <w:szCs w:val="24"/>
              </w:rPr>
            </w:pPr>
          </w:p>
          <w:p w14:paraId="20A289B6" w14:textId="77777777" w:rsidR="00962F08" w:rsidRDefault="00962F08" w:rsidP="004D159E">
            <w:pPr>
              <w:rPr>
                <w:rFonts w:ascii="Arial" w:hAnsi="Arial" w:cs="Arial"/>
                <w:sz w:val="24"/>
                <w:szCs w:val="24"/>
              </w:rPr>
            </w:pPr>
            <w:r>
              <w:rPr>
                <w:rFonts w:ascii="Arial" w:hAnsi="Arial" w:cs="Arial"/>
                <w:sz w:val="24"/>
                <w:szCs w:val="24"/>
              </w:rPr>
              <w:t>THS have spent some time evaluating other businesses of this nature around the world and have built these learnings into their assumptions.</w:t>
            </w:r>
          </w:p>
          <w:p w14:paraId="1689D60C" w14:textId="77777777" w:rsidR="00962F08" w:rsidRDefault="00962F08" w:rsidP="004D159E">
            <w:pPr>
              <w:rPr>
                <w:rFonts w:ascii="Arial" w:hAnsi="Arial" w:cs="Arial"/>
                <w:sz w:val="24"/>
                <w:szCs w:val="24"/>
              </w:rPr>
            </w:pPr>
            <w:r>
              <w:rPr>
                <w:rFonts w:ascii="Arial" w:hAnsi="Arial" w:cs="Arial"/>
                <w:sz w:val="24"/>
                <w:szCs w:val="24"/>
              </w:rPr>
              <w:t xml:space="preserve">The City will share in the success of THS with the supplementary turnover rent clause, yet still be protected by the assured base rent if for any reason the </w:t>
            </w:r>
            <w:r>
              <w:rPr>
                <w:rFonts w:ascii="Arial" w:hAnsi="Arial" w:cs="Arial"/>
                <w:sz w:val="24"/>
                <w:szCs w:val="24"/>
              </w:rPr>
              <w:lastRenderedPageBreak/>
              <w:t>turnover is not as high as initially forecast.</w:t>
            </w:r>
          </w:p>
          <w:p w14:paraId="40E55669" w14:textId="77777777" w:rsidR="00962F08" w:rsidRDefault="00962F08" w:rsidP="004D159E">
            <w:pPr>
              <w:rPr>
                <w:rFonts w:ascii="Arial" w:hAnsi="Arial" w:cs="Arial"/>
                <w:sz w:val="24"/>
                <w:szCs w:val="24"/>
              </w:rPr>
            </w:pPr>
          </w:p>
          <w:p w14:paraId="3930E1FF" w14:textId="77777777" w:rsidR="00962F08" w:rsidRDefault="00962F08" w:rsidP="004D159E">
            <w:pPr>
              <w:rPr>
                <w:rFonts w:ascii="Arial" w:hAnsi="Arial" w:cs="Arial"/>
                <w:sz w:val="24"/>
                <w:szCs w:val="24"/>
                <w:lang w:val="en-US"/>
              </w:rPr>
            </w:pPr>
            <w:r>
              <w:rPr>
                <w:rFonts w:ascii="Arial" w:hAnsi="Arial" w:cs="Arial"/>
                <w:sz w:val="24"/>
                <w:szCs w:val="24"/>
                <w:lang w:val="en-US"/>
              </w:rPr>
              <w:t>The financial risk is further mitigated by the rent review clause incorporated into the HOA.  The HOA stipulates the rent will be</w:t>
            </w:r>
            <w:r w:rsidRPr="00586CC0">
              <w:rPr>
                <w:rFonts w:ascii="Arial" w:hAnsi="Arial" w:cs="Arial"/>
                <w:sz w:val="24"/>
                <w:szCs w:val="24"/>
                <w:lang w:val="en-US"/>
              </w:rPr>
              <w:t xml:space="preserve"> reviewed to market levels after three years </w:t>
            </w:r>
            <w:r>
              <w:rPr>
                <w:rFonts w:ascii="Arial" w:hAnsi="Arial" w:cs="Arial"/>
                <w:sz w:val="24"/>
                <w:szCs w:val="24"/>
                <w:lang w:val="en-US"/>
              </w:rPr>
              <w:t xml:space="preserve">and </w:t>
            </w:r>
            <w:r w:rsidRPr="00586CC0">
              <w:rPr>
                <w:rFonts w:ascii="Arial" w:hAnsi="Arial" w:cs="Arial"/>
                <w:sz w:val="24"/>
                <w:szCs w:val="24"/>
                <w:lang w:val="en-US"/>
              </w:rPr>
              <w:t>provides the opportunity for the applicable market rate to be determined at that time</w:t>
            </w:r>
            <w:r>
              <w:rPr>
                <w:rFonts w:ascii="Arial" w:hAnsi="Arial" w:cs="Arial"/>
                <w:sz w:val="24"/>
                <w:szCs w:val="24"/>
                <w:lang w:val="en-US"/>
              </w:rPr>
              <w:t>,</w:t>
            </w:r>
            <w:r w:rsidRPr="00586CC0">
              <w:rPr>
                <w:rFonts w:ascii="Arial" w:hAnsi="Arial" w:cs="Arial"/>
                <w:sz w:val="24"/>
                <w:szCs w:val="24"/>
                <w:lang w:val="en-US"/>
              </w:rPr>
              <w:t xml:space="preserve"> either through negotiation or a rent determination process.</w:t>
            </w:r>
            <w:r>
              <w:rPr>
                <w:rFonts w:ascii="Arial" w:hAnsi="Arial" w:cs="Arial"/>
                <w:sz w:val="24"/>
                <w:szCs w:val="24"/>
                <w:lang w:val="en-US"/>
              </w:rPr>
              <w:t xml:space="preserve">  The HOA therefore secures that the City will ultimately receive market rent value in the future.  </w:t>
            </w:r>
          </w:p>
          <w:p w14:paraId="235AC409" w14:textId="77777777" w:rsidR="00962F08" w:rsidRDefault="00962F08" w:rsidP="004D159E">
            <w:pPr>
              <w:rPr>
                <w:rFonts w:ascii="Arial" w:hAnsi="Arial" w:cs="Arial"/>
                <w:sz w:val="24"/>
                <w:szCs w:val="24"/>
                <w:lang w:val="en-US"/>
              </w:rPr>
            </w:pPr>
          </w:p>
          <w:p w14:paraId="6C1F6349" w14:textId="77777777" w:rsidR="00962F08" w:rsidRDefault="00962F08" w:rsidP="004D159E">
            <w:pPr>
              <w:rPr>
                <w:rFonts w:ascii="Arial" w:hAnsi="Arial" w:cs="Arial"/>
                <w:sz w:val="24"/>
                <w:szCs w:val="24"/>
                <w:lang w:val="en-US"/>
              </w:rPr>
            </w:pPr>
            <w:r>
              <w:rPr>
                <w:rFonts w:ascii="Arial" w:hAnsi="Arial" w:cs="Arial"/>
                <w:sz w:val="24"/>
                <w:szCs w:val="24"/>
                <w:lang w:val="en-US"/>
              </w:rPr>
              <w:t xml:space="preserve">It is unlikely the City would identify an alternative </w:t>
            </w:r>
            <w:proofErr w:type="spellStart"/>
            <w:r>
              <w:rPr>
                <w:rFonts w:ascii="Arial" w:hAnsi="Arial" w:cs="Arial"/>
                <w:sz w:val="24"/>
                <w:szCs w:val="24"/>
                <w:lang w:val="en-US"/>
              </w:rPr>
              <w:t>SubLease</w:t>
            </w:r>
            <w:proofErr w:type="spellEnd"/>
            <w:r>
              <w:rPr>
                <w:rFonts w:ascii="Arial" w:hAnsi="Arial" w:cs="Arial"/>
                <w:sz w:val="24"/>
                <w:szCs w:val="24"/>
                <w:lang w:val="en-US"/>
              </w:rPr>
              <w:t xml:space="preserve"> holder for the site who would pay above the market value, so the provision for rent reviews somewhat mitigates the risk of there being alternative options available with the potential to generate a higher income to the City than THS.  </w:t>
            </w:r>
          </w:p>
          <w:p w14:paraId="0B30D571" w14:textId="77777777" w:rsidR="00962F08" w:rsidRDefault="00962F08" w:rsidP="004D159E">
            <w:pPr>
              <w:rPr>
                <w:rFonts w:ascii="Arial" w:hAnsi="Arial" w:cs="Arial"/>
                <w:sz w:val="24"/>
                <w:szCs w:val="24"/>
                <w:lang w:val="en-US"/>
              </w:rPr>
            </w:pPr>
          </w:p>
          <w:p w14:paraId="6B791582" w14:textId="77777777" w:rsidR="00962F08" w:rsidRDefault="00962F08" w:rsidP="004D159E">
            <w:pPr>
              <w:rPr>
                <w:rFonts w:ascii="Arial" w:hAnsi="Arial" w:cs="Arial"/>
                <w:sz w:val="24"/>
                <w:szCs w:val="24"/>
              </w:rPr>
            </w:pPr>
            <w:r>
              <w:rPr>
                <w:rFonts w:ascii="Arial" w:hAnsi="Arial" w:cs="Arial"/>
                <w:sz w:val="24"/>
                <w:szCs w:val="24"/>
              </w:rPr>
              <w:t>By proceeding with the HOA, the City eliminates the ongoing financial impact of being responsible for Tawarri as well as replacing the recently ceased revenue stream.</w:t>
            </w:r>
          </w:p>
          <w:p w14:paraId="1F3B04AE" w14:textId="77777777" w:rsidR="00962F08" w:rsidRDefault="00962F08" w:rsidP="004D159E">
            <w:pPr>
              <w:rPr>
                <w:rFonts w:ascii="Arial" w:hAnsi="Arial" w:cs="Arial"/>
                <w:sz w:val="24"/>
                <w:szCs w:val="24"/>
              </w:rPr>
            </w:pPr>
          </w:p>
        </w:tc>
      </w:tr>
      <w:tr w:rsidR="00962F08" w14:paraId="78C39117" w14:textId="77777777" w:rsidTr="004D159E">
        <w:tc>
          <w:tcPr>
            <w:tcW w:w="4673" w:type="dxa"/>
          </w:tcPr>
          <w:p w14:paraId="4E21B5A4" w14:textId="77777777" w:rsidR="00962F08" w:rsidRPr="00C03F40" w:rsidRDefault="00962F08" w:rsidP="004D159E">
            <w:pPr>
              <w:rPr>
                <w:rFonts w:ascii="Arial" w:hAnsi="Arial" w:cs="Arial"/>
                <w:b/>
                <w:bCs/>
                <w:sz w:val="24"/>
                <w:szCs w:val="24"/>
              </w:rPr>
            </w:pPr>
            <w:r w:rsidRPr="00C03F40">
              <w:rPr>
                <w:rFonts w:ascii="Arial" w:hAnsi="Arial" w:cs="Arial"/>
                <w:b/>
                <w:bCs/>
                <w:sz w:val="24"/>
                <w:szCs w:val="24"/>
              </w:rPr>
              <w:lastRenderedPageBreak/>
              <w:t>Reputation</w:t>
            </w:r>
            <w:r>
              <w:rPr>
                <w:rFonts w:ascii="Arial" w:hAnsi="Arial" w:cs="Arial"/>
                <w:b/>
                <w:bCs/>
                <w:sz w:val="24"/>
                <w:szCs w:val="24"/>
              </w:rPr>
              <w:t>al</w:t>
            </w:r>
            <w:r w:rsidRPr="00C03F40">
              <w:rPr>
                <w:rFonts w:ascii="Arial" w:hAnsi="Arial" w:cs="Arial"/>
                <w:b/>
                <w:bCs/>
                <w:sz w:val="24"/>
                <w:szCs w:val="24"/>
              </w:rPr>
              <w:t xml:space="preserve"> Risk</w:t>
            </w:r>
          </w:p>
          <w:p w14:paraId="7E423D40" w14:textId="77777777" w:rsidR="00962F08" w:rsidRDefault="00962F08" w:rsidP="004D159E">
            <w:pPr>
              <w:rPr>
                <w:rFonts w:ascii="Arial" w:hAnsi="Arial" w:cs="Arial"/>
                <w:sz w:val="24"/>
                <w:szCs w:val="24"/>
              </w:rPr>
            </w:pPr>
          </w:p>
          <w:p w14:paraId="4E34B6F0" w14:textId="77777777" w:rsidR="00962F08" w:rsidRDefault="00962F08" w:rsidP="004D159E">
            <w:pPr>
              <w:rPr>
                <w:rFonts w:ascii="Arial" w:hAnsi="Arial" w:cs="Arial"/>
                <w:sz w:val="24"/>
                <w:szCs w:val="24"/>
              </w:rPr>
            </w:pPr>
            <w:r>
              <w:rPr>
                <w:rFonts w:ascii="Arial" w:hAnsi="Arial" w:cs="Arial"/>
                <w:sz w:val="24"/>
                <w:szCs w:val="24"/>
              </w:rPr>
              <w:t xml:space="preserve">There is the potential for reputational risk should the preferred proponent business plans not be </w:t>
            </w:r>
            <w:proofErr w:type="gramStart"/>
            <w:r>
              <w:rPr>
                <w:rFonts w:ascii="Arial" w:hAnsi="Arial" w:cs="Arial"/>
                <w:sz w:val="24"/>
                <w:szCs w:val="24"/>
              </w:rPr>
              <w:t>achieved</w:t>
            </w:r>
            <w:proofErr w:type="gramEnd"/>
            <w:r>
              <w:rPr>
                <w:rFonts w:ascii="Arial" w:hAnsi="Arial" w:cs="Arial"/>
                <w:sz w:val="24"/>
                <w:szCs w:val="24"/>
              </w:rPr>
              <w:t xml:space="preserve"> and the business fails.  The City may be viewed as not doing appropriate due diligence.</w:t>
            </w:r>
          </w:p>
          <w:p w14:paraId="575AE43C" w14:textId="77777777" w:rsidR="00962F08" w:rsidRDefault="00962F08" w:rsidP="004D159E">
            <w:pPr>
              <w:rPr>
                <w:rFonts w:ascii="Arial" w:hAnsi="Arial" w:cs="Arial"/>
                <w:sz w:val="24"/>
                <w:szCs w:val="24"/>
              </w:rPr>
            </w:pPr>
          </w:p>
          <w:p w14:paraId="54F2C3D6" w14:textId="77777777" w:rsidR="00962F08" w:rsidRDefault="00962F08" w:rsidP="004D159E">
            <w:pPr>
              <w:rPr>
                <w:rFonts w:ascii="Arial" w:hAnsi="Arial" w:cs="Arial"/>
                <w:sz w:val="24"/>
                <w:szCs w:val="24"/>
              </w:rPr>
            </w:pPr>
            <w:r>
              <w:rPr>
                <w:rFonts w:ascii="Arial" w:hAnsi="Arial" w:cs="Arial"/>
                <w:sz w:val="24"/>
                <w:szCs w:val="24"/>
              </w:rPr>
              <w:t xml:space="preserve">There is a reputational risk should the City fail to progress a positive outcome for the site or progress the right outcome for the site.  To come this far and not be able to secure a positive outcome could reflect badly on the City’s capabilities and lower Community faith in the competence of the Council to secure new facilities and in the District. </w:t>
            </w:r>
          </w:p>
          <w:p w14:paraId="004FD41E" w14:textId="77777777" w:rsidR="00962F08" w:rsidRDefault="00962F08" w:rsidP="004D159E">
            <w:pPr>
              <w:rPr>
                <w:rFonts w:ascii="Arial" w:hAnsi="Arial" w:cs="Arial"/>
                <w:sz w:val="24"/>
                <w:szCs w:val="24"/>
              </w:rPr>
            </w:pPr>
          </w:p>
          <w:p w14:paraId="1189418B" w14:textId="77777777" w:rsidR="00962F08" w:rsidRDefault="00962F08" w:rsidP="004D159E">
            <w:pPr>
              <w:rPr>
                <w:rFonts w:ascii="Arial" w:hAnsi="Arial" w:cs="Arial"/>
                <w:sz w:val="24"/>
                <w:szCs w:val="24"/>
              </w:rPr>
            </w:pPr>
            <w:r>
              <w:rPr>
                <w:rFonts w:ascii="Arial" w:hAnsi="Arial" w:cs="Arial"/>
                <w:sz w:val="24"/>
                <w:szCs w:val="24"/>
              </w:rPr>
              <w:lastRenderedPageBreak/>
              <w:t>The proposal is for unique facilities that connect strongly with the history and heritage of the site. The development has the potential to offer unique high-quality facilities not offered anywhere else in WA, right on the doorstep of the City’s residents and at no cost to rate payers.  This itself presents a positive opportunity to benefit the City’s reputation.</w:t>
            </w:r>
          </w:p>
          <w:p w14:paraId="59A41F47" w14:textId="77777777" w:rsidR="00962F08" w:rsidRDefault="00962F08" w:rsidP="004D159E">
            <w:pPr>
              <w:rPr>
                <w:rFonts w:ascii="Arial" w:hAnsi="Arial" w:cs="Arial"/>
                <w:sz w:val="24"/>
                <w:szCs w:val="24"/>
              </w:rPr>
            </w:pPr>
            <w:r>
              <w:rPr>
                <w:rFonts w:ascii="Arial" w:hAnsi="Arial" w:cs="Arial"/>
                <w:sz w:val="24"/>
                <w:szCs w:val="24"/>
              </w:rPr>
              <w:t xml:space="preserve">  </w:t>
            </w:r>
          </w:p>
        </w:tc>
        <w:tc>
          <w:tcPr>
            <w:tcW w:w="4394" w:type="dxa"/>
          </w:tcPr>
          <w:p w14:paraId="0850CE54" w14:textId="77777777" w:rsidR="00962F08" w:rsidRDefault="00962F08" w:rsidP="004D159E">
            <w:pPr>
              <w:rPr>
                <w:rFonts w:ascii="Arial" w:hAnsi="Arial" w:cs="Arial"/>
                <w:b/>
                <w:bCs/>
                <w:sz w:val="24"/>
                <w:szCs w:val="24"/>
              </w:rPr>
            </w:pPr>
            <w:r w:rsidRPr="00C03F40">
              <w:rPr>
                <w:rFonts w:ascii="Arial" w:hAnsi="Arial" w:cs="Arial"/>
                <w:b/>
                <w:bCs/>
                <w:sz w:val="24"/>
                <w:szCs w:val="24"/>
              </w:rPr>
              <w:lastRenderedPageBreak/>
              <w:t>Reputation</w:t>
            </w:r>
            <w:r>
              <w:rPr>
                <w:rFonts w:ascii="Arial" w:hAnsi="Arial" w:cs="Arial"/>
                <w:b/>
                <w:bCs/>
                <w:sz w:val="24"/>
                <w:szCs w:val="24"/>
              </w:rPr>
              <w:t>al</w:t>
            </w:r>
            <w:r w:rsidRPr="00C03F40">
              <w:rPr>
                <w:rFonts w:ascii="Arial" w:hAnsi="Arial" w:cs="Arial"/>
                <w:b/>
                <w:bCs/>
                <w:sz w:val="24"/>
                <w:szCs w:val="24"/>
              </w:rPr>
              <w:t xml:space="preserve"> Risk</w:t>
            </w:r>
          </w:p>
          <w:p w14:paraId="1F0828E9" w14:textId="77777777" w:rsidR="00962F08" w:rsidRPr="00C03F40" w:rsidRDefault="00962F08" w:rsidP="004D159E">
            <w:pPr>
              <w:rPr>
                <w:rFonts w:ascii="Arial" w:hAnsi="Arial" w:cs="Arial"/>
                <w:b/>
                <w:bCs/>
                <w:sz w:val="24"/>
                <w:szCs w:val="24"/>
              </w:rPr>
            </w:pPr>
          </w:p>
          <w:p w14:paraId="1716358F" w14:textId="77777777" w:rsidR="00962F08" w:rsidRDefault="00962F08" w:rsidP="004D159E">
            <w:pPr>
              <w:rPr>
                <w:rFonts w:ascii="Arial" w:hAnsi="Arial" w:cs="Arial"/>
                <w:sz w:val="24"/>
                <w:szCs w:val="24"/>
              </w:rPr>
            </w:pPr>
            <w:r>
              <w:rPr>
                <w:rFonts w:ascii="Arial" w:hAnsi="Arial" w:cs="Arial"/>
                <w:sz w:val="24"/>
                <w:szCs w:val="24"/>
              </w:rPr>
              <w:t xml:space="preserve">The City has minimised this risk through engaging Moore Stephens to complete due diligence checks on the financial capacity of THS to undertake the development as proposed, this work needs to be updated prior to signing of the Agreement for </w:t>
            </w:r>
            <w:proofErr w:type="spellStart"/>
            <w:r>
              <w:rPr>
                <w:rFonts w:ascii="Arial" w:hAnsi="Arial" w:cs="Arial"/>
                <w:sz w:val="24"/>
                <w:szCs w:val="24"/>
              </w:rPr>
              <w:t>SubLease</w:t>
            </w:r>
            <w:proofErr w:type="spellEnd"/>
            <w:r>
              <w:rPr>
                <w:rFonts w:ascii="Arial" w:hAnsi="Arial" w:cs="Arial"/>
                <w:sz w:val="24"/>
                <w:szCs w:val="24"/>
              </w:rPr>
              <w:t xml:space="preserve"> due to the time that has lapsed.  Insurance and Bank Guarantee clauses have been included in the HOA. </w:t>
            </w:r>
          </w:p>
          <w:p w14:paraId="4A116A4B" w14:textId="77777777" w:rsidR="00962F08" w:rsidRDefault="00962F08" w:rsidP="004D159E">
            <w:pPr>
              <w:rPr>
                <w:rFonts w:ascii="Arial" w:hAnsi="Arial" w:cs="Arial"/>
                <w:sz w:val="24"/>
                <w:szCs w:val="24"/>
              </w:rPr>
            </w:pPr>
          </w:p>
          <w:p w14:paraId="192793B1" w14:textId="77777777" w:rsidR="00962F08" w:rsidRDefault="00962F08" w:rsidP="004D159E">
            <w:pPr>
              <w:rPr>
                <w:rFonts w:ascii="Arial" w:hAnsi="Arial" w:cs="Arial"/>
                <w:sz w:val="24"/>
                <w:szCs w:val="24"/>
              </w:rPr>
            </w:pPr>
            <w:r>
              <w:rPr>
                <w:rFonts w:ascii="Arial" w:hAnsi="Arial" w:cs="Arial"/>
                <w:sz w:val="24"/>
                <w:szCs w:val="24"/>
              </w:rPr>
              <w:t xml:space="preserve">THS have presented a clear understanding throughout the process of date of the complexities of constructing and operating the business proposed.  The owner of the </w:t>
            </w:r>
            <w:r>
              <w:rPr>
                <w:rFonts w:ascii="Arial" w:hAnsi="Arial" w:cs="Arial"/>
                <w:sz w:val="24"/>
                <w:szCs w:val="24"/>
              </w:rPr>
              <w:lastRenderedPageBreak/>
              <w:t xml:space="preserve">successful Peninsula Hot Springs in Melbourne was closely involved in development of the conception of the proposal, and THS have engaged experts such as Rock Water to assist in developing the use of the natural spring water at the site. </w:t>
            </w:r>
          </w:p>
          <w:p w14:paraId="1E59BBFA" w14:textId="77777777" w:rsidR="00962F08" w:rsidRDefault="00962F08" w:rsidP="004D159E">
            <w:pPr>
              <w:rPr>
                <w:rFonts w:ascii="Arial" w:hAnsi="Arial" w:cs="Arial"/>
                <w:sz w:val="24"/>
                <w:szCs w:val="24"/>
              </w:rPr>
            </w:pPr>
          </w:p>
          <w:p w14:paraId="738D3504" w14:textId="77777777" w:rsidR="00962F08" w:rsidRDefault="00962F08" w:rsidP="004D159E">
            <w:pPr>
              <w:rPr>
                <w:rFonts w:ascii="Arial" w:hAnsi="Arial" w:cs="Arial"/>
                <w:sz w:val="24"/>
                <w:szCs w:val="24"/>
              </w:rPr>
            </w:pPr>
            <w:r>
              <w:rPr>
                <w:rFonts w:ascii="Arial" w:hAnsi="Arial" w:cs="Arial"/>
                <w:sz w:val="24"/>
                <w:szCs w:val="24"/>
              </w:rPr>
              <w:t xml:space="preserve">It is essential that suitable and adequate community engagement be completed throughout the project at the right key stages to ensure community expectations for the development of new facilities in the area are met. </w:t>
            </w:r>
          </w:p>
          <w:p w14:paraId="0B37DA6F" w14:textId="77777777" w:rsidR="00962F08" w:rsidRDefault="00962F08" w:rsidP="004D159E">
            <w:pPr>
              <w:rPr>
                <w:rFonts w:ascii="Arial" w:hAnsi="Arial" w:cs="Arial"/>
                <w:sz w:val="24"/>
                <w:szCs w:val="24"/>
              </w:rPr>
            </w:pPr>
          </w:p>
        </w:tc>
      </w:tr>
      <w:tr w:rsidR="00962F08" w14:paraId="01AFFDA4" w14:textId="77777777" w:rsidTr="004D159E">
        <w:trPr>
          <w:trHeight w:val="6511"/>
        </w:trPr>
        <w:tc>
          <w:tcPr>
            <w:tcW w:w="4673" w:type="dxa"/>
          </w:tcPr>
          <w:p w14:paraId="01A2051D" w14:textId="77777777" w:rsidR="00962F08" w:rsidRPr="00C03F40" w:rsidRDefault="00962F08" w:rsidP="004D159E">
            <w:pPr>
              <w:rPr>
                <w:rFonts w:ascii="Arial" w:hAnsi="Arial" w:cs="Arial"/>
                <w:b/>
                <w:bCs/>
                <w:sz w:val="24"/>
                <w:szCs w:val="24"/>
              </w:rPr>
            </w:pPr>
            <w:r w:rsidRPr="00C03F40">
              <w:rPr>
                <w:rFonts w:ascii="Arial" w:hAnsi="Arial" w:cs="Arial"/>
                <w:b/>
                <w:bCs/>
                <w:sz w:val="24"/>
                <w:szCs w:val="24"/>
              </w:rPr>
              <w:lastRenderedPageBreak/>
              <w:t>Site Risk</w:t>
            </w:r>
          </w:p>
          <w:p w14:paraId="3FAAD06C" w14:textId="77777777" w:rsidR="00962F08" w:rsidRDefault="00962F08" w:rsidP="004D159E">
            <w:pPr>
              <w:rPr>
                <w:rFonts w:ascii="Arial" w:hAnsi="Arial" w:cs="Arial"/>
                <w:sz w:val="24"/>
                <w:szCs w:val="24"/>
              </w:rPr>
            </w:pPr>
          </w:p>
          <w:p w14:paraId="170AA37E" w14:textId="77777777" w:rsidR="00962F08" w:rsidRDefault="00962F08" w:rsidP="004D159E">
            <w:pPr>
              <w:rPr>
                <w:rFonts w:ascii="Arial" w:hAnsi="Arial" w:cs="Arial"/>
                <w:sz w:val="24"/>
                <w:szCs w:val="24"/>
              </w:rPr>
            </w:pPr>
            <w:r>
              <w:rPr>
                <w:rFonts w:ascii="Arial" w:hAnsi="Arial" w:cs="Arial"/>
                <w:sz w:val="24"/>
                <w:szCs w:val="24"/>
              </w:rPr>
              <w:t xml:space="preserve">The site currently accommodates the old Tawarri Reception Centre.  The building is a dilapidated eyesore and cannot be used or leased in its current form and with the current land status.  </w:t>
            </w:r>
          </w:p>
          <w:p w14:paraId="0E2ED911" w14:textId="77777777" w:rsidR="00962F08" w:rsidRDefault="00962F08" w:rsidP="004D159E">
            <w:pPr>
              <w:rPr>
                <w:rFonts w:ascii="Arial" w:hAnsi="Arial" w:cs="Arial"/>
                <w:sz w:val="24"/>
                <w:szCs w:val="24"/>
              </w:rPr>
            </w:pPr>
          </w:p>
          <w:p w14:paraId="364A0ECF" w14:textId="77777777" w:rsidR="00962F08" w:rsidRDefault="00962F08" w:rsidP="004D159E">
            <w:pPr>
              <w:rPr>
                <w:rFonts w:ascii="Arial" w:hAnsi="Arial" w:cs="Arial"/>
                <w:sz w:val="24"/>
                <w:szCs w:val="24"/>
              </w:rPr>
            </w:pPr>
            <w:r>
              <w:rPr>
                <w:rFonts w:ascii="Arial" w:hAnsi="Arial" w:cs="Arial"/>
                <w:sz w:val="24"/>
                <w:szCs w:val="24"/>
              </w:rPr>
              <w:t xml:space="preserve">The building presents hazards to the public having been used for illegal dumping and being subject to vandalism.  Internally parts of the building including the ceiling in some areas are </w:t>
            </w:r>
            <w:proofErr w:type="gramStart"/>
            <w:r>
              <w:rPr>
                <w:rFonts w:ascii="Arial" w:hAnsi="Arial" w:cs="Arial"/>
                <w:sz w:val="24"/>
                <w:szCs w:val="24"/>
              </w:rPr>
              <w:t>falling down</w:t>
            </w:r>
            <w:proofErr w:type="gramEnd"/>
            <w:r>
              <w:rPr>
                <w:rFonts w:ascii="Arial" w:hAnsi="Arial" w:cs="Arial"/>
                <w:sz w:val="24"/>
                <w:szCs w:val="24"/>
              </w:rPr>
              <w:t xml:space="preserve">.  </w:t>
            </w:r>
          </w:p>
          <w:p w14:paraId="5226E66D" w14:textId="77777777" w:rsidR="00962F08" w:rsidRDefault="00962F08" w:rsidP="004D159E">
            <w:pPr>
              <w:rPr>
                <w:rFonts w:ascii="Arial" w:hAnsi="Arial" w:cs="Arial"/>
                <w:sz w:val="24"/>
                <w:szCs w:val="24"/>
              </w:rPr>
            </w:pPr>
          </w:p>
          <w:p w14:paraId="3962CB86" w14:textId="77777777" w:rsidR="00962F08" w:rsidRDefault="00962F08" w:rsidP="004D159E">
            <w:pPr>
              <w:rPr>
                <w:rFonts w:ascii="Arial" w:hAnsi="Arial" w:cs="Arial"/>
                <w:sz w:val="24"/>
                <w:szCs w:val="24"/>
              </w:rPr>
            </w:pPr>
            <w:r>
              <w:rPr>
                <w:rFonts w:ascii="Arial" w:hAnsi="Arial" w:cs="Arial"/>
                <w:sz w:val="24"/>
                <w:szCs w:val="24"/>
              </w:rPr>
              <w:t xml:space="preserve">Should the HOA not proceed, and the future of the site not be determined, the site itself continues to present a risk for the foreseeable future.  The estimated costs for demolition are $75,000 incl. GST.  </w:t>
            </w:r>
          </w:p>
          <w:p w14:paraId="1E26AB0C" w14:textId="77777777" w:rsidR="00962F08" w:rsidRDefault="00962F08" w:rsidP="004D159E">
            <w:pPr>
              <w:rPr>
                <w:rFonts w:ascii="Arial" w:hAnsi="Arial" w:cs="Arial"/>
                <w:sz w:val="24"/>
                <w:szCs w:val="24"/>
              </w:rPr>
            </w:pPr>
          </w:p>
        </w:tc>
        <w:tc>
          <w:tcPr>
            <w:tcW w:w="4394" w:type="dxa"/>
          </w:tcPr>
          <w:p w14:paraId="4C7CBD41" w14:textId="77777777" w:rsidR="00962F08" w:rsidRPr="00C03F40" w:rsidRDefault="00962F08" w:rsidP="004D159E">
            <w:pPr>
              <w:rPr>
                <w:rFonts w:ascii="Arial" w:hAnsi="Arial" w:cs="Arial"/>
                <w:b/>
                <w:bCs/>
                <w:sz w:val="24"/>
                <w:szCs w:val="24"/>
              </w:rPr>
            </w:pPr>
            <w:r w:rsidRPr="00C03F40">
              <w:rPr>
                <w:rFonts w:ascii="Arial" w:hAnsi="Arial" w:cs="Arial"/>
                <w:b/>
                <w:bCs/>
                <w:sz w:val="24"/>
                <w:szCs w:val="24"/>
              </w:rPr>
              <w:t>Site Risk</w:t>
            </w:r>
          </w:p>
          <w:p w14:paraId="687554E8" w14:textId="77777777" w:rsidR="00962F08" w:rsidRPr="00B33C85" w:rsidRDefault="00962F08" w:rsidP="004D159E">
            <w:pPr>
              <w:rPr>
                <w:rFonts w:ascii="Arial" w:hAnsi="Arial" w:cs="Arial"/>
                <w:sz w:val="24"/>
                <w:szCs w:val="24"/>
                <w:lang w:val="en-US"/>
              </w:rPr>
            </w:pPr>
            <w:r>
              <w:rPr>
                <w:rFonts w:ascii="Arial" w:hAnsi="Arial" w:cs="Arial"/>
                <w:sz w:val="24"/>
                <w:szCs w:val="24"/>
                <w:lang w:val="en-US"/>
              </w:rPr>
              <w:br/>
              <w:t>P</w:t>
            </w:r>
            <w:r w:rsidRPr="00B33C85">
              <w:rPr>
                <w:rFonts w:ascii="Arial" w:hAnsi="Arial" w:cs="Arial"/>
                <w:sz w:val="24"/>
                <w:szCs w:val="24"/>
                <w:lang w:val="en-US"/>
              </w:rPr>
              <w:t>roceeding with the project will ensure</w:t>
            </w:r>
            <w:r>
              <w:rPr>
                <w:rFonts w:ascii="Arial" w:hAnsi="Arial" w:cs="Arial"/>
                <w:sz w:val="24"/>
                <w:szCs w:val="24"/>
                <w:lang w:val="en-US"/>
              </w:rPr>
              <w:t xml:space="preserve"> </w:t>
            </w:r>
            <w:r w:rsidRPr="00B33C85">
              <w:rPr>
                <w:rFonts w:ascii="Arial" w:hAnsi="Arial" w:cs="Arial"/>
                <w:sz w:val="24"/>
                <w:szCs w:val="24"/>
                <w:lang w:val="en-US"/>
              </w:rPr>
              <w:t xml:space="preserve">the building on the site is </w:t>
            </w:r>
            <w:r>
              <w:rPr>
                <w:rFonts w:ascii="Arial" w:hAnsi="Arial" w:cs="Arial"/>
                <w:sz w:val="24"/>
                <w:szCs w:val="24"/>
                <w:lang w:val="en-US"/>
              </w:rPr>
              <w:t>demolished and redeveloped at no cost to the City</w:t>
            </w:r>
            <w:r w:rsidRPr="00B33C85">
              <w:rPr>
                <w:rFonts w:ascii="Arial" w:hAnsi="Arial" w:cs="Arial"/>
                <w:sz w:val="24"/>
                <w:szCs w:val="24"/>
                <w:lang w:val="en-US"/>
              </w:rPr>
              <w:t xml:space="preserve">. </w:t>
            </w:r>
          </w:p>
          <w:p w14:paraId="78473081" w14:textId="77777777" w:rsidR="00962F08" w:rsidRPr="00B33C85" w:rsidRDefault="00962F08" w:rsidP="004D159E">
            <w:pPr>
              <w:rPr>
                <w:rFonts w:ascii="Arial" w:hAnsi="Arial" w:cs="Arial"/>
                <w:sz w:val="24"/>
                <w:szCs w:val="24"/>
                <w:lang w:val="en-US"/>
              </w:rPr>
            </w:pPr>
          </w:p>
          <w:p w14:paraId="5E1CB81A" w14:textId="1AE57BA4" w:rsidR="00962F08" w:rsidRDefault="00962F08" w:rsidP="004D159E">
            <w:pPr>
              <w:rPr>
                <w:rFonts w:ascii="Arial" w:hAnsi="Arial" w:cs="Arial"/>
                <w:sz w:val="24"/>
                <w:szCs w:val="24"/>
                <w:lang w:val="en-US"/>
              </w:rPr>
            </w:pPr>
            <w:r>
              <w:rPr>
                <w:rFonts w:ascii="Arial" w:hAnsi="Arial" w:cs="Arial"/>
                <w:sz w:val="24"/>
                <w:szCs w:val="24"/>
                <w:lang w:val="en-US"/>
              </w:rPr>
              <w:t>I</w:t>
            </w:r>
            <w:r w:rsidRPr="00B33C85">
              <w:rPr>
                <w:rFonts w:ascii="Arial" w:hAnsi="Arial" w:cs="Arial"/>
                <w:sz w:val="24"/>
                <w:szCs w:val="24"/>
                <w:lang w:val="en-US"/>
              </w:rPr>
              <w:t>n the</w:t>
            </w:r>
            <w:r>
              <w:rPr>
                <w:rFonts w:ascii="Arial" w:hAnsi="Arial" w:cs="Arial"/>
                <w:sz w:val="24"/>
                <w:szCs w:val="24"/>
                <w:lang w:val="en-US"/>
              </w:rPr>
              <w:t xml:space="preserve"> </w:t>
            </w:r>
            <w:r w:rsidRPr="00B33C85">
              <w:rPr>
                <w:rFonts w:ascii="Arial" w:hAnsi="Arial" w:cs="Arial"/>
                <w:sz w:val="24"/>
                <w:szCs w:val="24"/>
                <w:lang w:val="en-US"/>
              </w:rPr>
              <w:t>unlikely event that the proposed development does not prove to be successful</w:t>
            </w:r>
            <w:r>
              <w:rPr>
                <w:rFonts w:ascii="Arial" w:hAnsi="Arial" w:cs="Arial"/>
                <w:sz w:val="24"/>
                <w:szCs w:val="24"/>
                <w:lang w:val="en-US"/>
              </w:rPr>
              <w:t>,</w:t>
            </w:r>
            <w:r w:rsidRPr="00B33C85">
              <w:rPr>
                <w:rFonts w:ascii="Arial" w:hAnsi="Arial" w:cs="Arial"/>
                <w:sz w:val="24"/>
                <w:szCs w:val="24"/>
                <w:lang w:val="en-US"/>
              </w:rPr>
              <w:t xml:space="preserve"> </w:t>
            </w:r>
            <w:r>
              <w:rPr>
                <w:rFonts w:ascii="Arial" w:hAnsi="Arial" w:cs="Arial"/>
                <w:sz w:val="24"/>
                <w:szCs w:val="24"/>
                <w:lang w:val="en-US"/>
              </w:rPr>
              <w:t>the HOA provides provision for</w:t>
            </w:r>
            <w:r w:rsidRPr="00B33C85">
              <w:rPr>
                <w:rFonts w:ascii="Arial" w:hAnsi="Arial" w:cs="Arial"/>
                <w:sz w:val="24"/>
                <w:szCs w:val="24"/>
                <w:lang w:val="en-US"/>
              </w:rPr>
              <w:t xml:space="preserve"> the site to be returned to its natural state with no or minimal cost or disruption to the City and this would be </w:t>
            </w:r>
            <w:r>
              <w:rPr>
                <w:rFonts w:ascii="Arial" w:hAnsi="Arial" w:cs="Arial"/>
                <w:sz w:val="24"/>
                <w:szCs w:val="24"/>
                <w:lang w:val="en-US"/>
              </w:rPr>
              <w:t>included</w:t>
            </w:r>
            <w:r w:rsidRPr="00B33C85">
              <w:rPr>
                <w:rFonts w:ascii="Arial" w:hAnsi="Arial" w:cs="Arial"/>
                <w:sz w:val="24"/>
                <w:szCs w:val="24"/>
                <w:lang w:val="en-US"/>
              </w:rPr>
              <w:t xml:space="preserve"> in</w:t>
            </w:r>
            <w:r>
              <w:rPr>
                <w:rFonts w:ascii="Arial" w:hAnsi="Arial" w:cs="Arial"/>
                <w:sz w:val="24"/>
                <w:szCs w:val="24"/>
                <w:lang w:val="en-US"/>
              </w:rPr>
              <w:t xml:space="preserve"> </w:t>
            </w:r>
            <w:r w:rsidRPr="00B33C85">
              <w:rPr>
                <w:rFonts w:ascii="Arial" w:hAnsi="Arial" w:cs="Arial"/>
                <w:sz w:val="24"/>
                <w:szCs w:val="24"/>
                <w:lang w:val="en-US"/>
              </w:rPr>
              <w:t>the subsequent</w:t>
            </w:r>
            <w:r>
              <w:rPr>
                <w:rFonts w:ascii="Arial" w:hAnsi="Arial" w:cs="Arial"/>
                <w:sz w:val="24"/>
                <w:szCs w:val="24"/>
                <w:lang w:val="en-US"/>
              </w:rPr>
              <w:t xml:space="preserve"> </w:t>
            </w:r>
            <w:r w:rsidRPr="00B33C85">
              <w:rPr>
                <w:rFonts w:ascii="Arial" w:hAnsi="Arial" w:cs="Arial"/>
                <w:sz w:val="24"/>
                <w:szCs w:val="24"/>
                <w:lang w:val="en-US"/>
              </w:rPr>
              <w:t xml:space="preserve">Agreement for </w:t>
            </w:r>
            <w:proofErr w:type="spellStart"/>
            <w:r>
              <w:rPr>
                <w:rFonts w:ascii="Arial" w:hAnsi="Arial" w:cs="Arial"/>
                <w:sz w:val="24"/>
                <w:szCs w:val="24"/>
                <w:lang w:val="en-US"/>
              </w:rPr>
              <w:t>Sub</w:t>
            </w:r>
            <w:r w:rsidRPr="00B33C85">
              <w:rPr>
                <w:rFonts w:ascii="Arial" w:hAnsi="Arial" w:cs="Arial"/>
                <w:sz w:val="24"/>
                <w:szCs w:val="24"/>
                <w:lang w:val="en-US"/>
              </w:rPr>
              <w:t>Lease</w:t>
            </w:r>
            <w:proofErr w:type="spellEnd"/>
            <w:r>
              <w:rPr>
                <w:rFonts w:ascii="Arial" w:hAnsi="Arial" w:cs="Arial"/>
                <w:sz w:val="24"/>
                <w:szCs w:val="24"/>
                <w:lang w:val="en-US"/>
              </w:rPr>
              <w:t xml:space="preserve"> and </w:t>
            </w:r>
            <w:proofErr w:type="spellStart"/>
            <w:r>
              <w:rPr>
                <w:rFonts w:ascii="Arial" w:hAnsi="Arial" w:cs="Arial"/>
                <w:sz w:val="24"/>
                <w:szCs w:val="24"/>
                <w:lang w:val="en-US"/>
              </w:rPr>
              <w:t>SubLease</w:t>
            </w:r>
            <w:proofErr w:type="spellEnd"/>
            <w:r>
              <w:rPr>
                <w:rFonts w:ascii="Arial" w:hAnsi="Arial" w:cs="Arial"/>
                <w:sz w:val="24"/>
                <w:szCs w:val="24"/>
                <w:lang w:val="en-US"/>
              </w:rPr>
              <w:t xml:space="preserve"> documents.</w:t>
            </w:r>
          </w:p>
          <w:p w14:paraId="0ECFA560" w14:textId="77777777" w:rsidR="00962F08" w:rsidRDefault="00962F08" w:rsidP="004D159E">
            <w:pPr>
              <w:rPr>
                <w:rFonts w:ascii="Arial" w:hAnsi="Arial" w:cs="Arial"/>
                <w:sz w:val="24"/>
                <w:szCs w:val="24"/>
              </w:rPr>
            </w:pPr>
          </w:p>
          <w:p w14:paraId="4F0804E1" w14:textId="77777777" w:rsidR="00962F08" w:rsidRDefault="00962F08" w:rsidP="004D159E">
            <w:pPr>
              <w:rPr>
                <w:rFonts w:ascii="Arial" w:hAnsi="Arial" w:cs="Arial"/>
                <w:sz w:val="24"/>
                <w:szCs w:val="24"/>
              </w:rPr>
            </w:pPr>
            <w:r>
              <w:rPr>
                <w:rFonts w:ascii="Arial" w:hAnsi="Arial" w:cs="Arial"/>
                <w:sz w:val="24"/>
                <w:szCs w:val="24"/>
              </w:rPr>
              <w:t xml:space="preserve">The City is currently managing site risks by having the building fenced off and being closely monitored.  The City currently maintains full security systems, alarms and fire alarms across the whole site.  These solutions will only be suitable for a temporary </w:t>
            </w:r>
            <w:proofErr w:type="gramStart"/>
            <w:r>
              <w:rPr>
                <w:rFonts w:ascii="Arial" w:hAnsi="Arial" w:cs="Arial"/>
                <w:sz w:val="24"/>
                <w:szCs w:val="24"/>
              </w:rPr>
              <w:t>period of time</w:t>
            </w:r>
            <w:proofErr w:type="gramEnd"/>
            <w:r>
              <w:rPr>
                <w:rFonts w:ascii="Arial" w:hAnsi="Arial" w:cs="Arial"/>
                <w:sz w:val="24"/>
                <w:szCs w:val="24"/>
              </w:rPr>
              <w:t>.</w:t>
            </w:r>
          </w:p>
        </w:tc>
      </w:tr>
    </w:tbl>
    <w:p w14:paraId="57A21E25" w14:textId="77777777" w:rsidR="00962F08" w:rsidRDefault="00962F08" w:rsidP="00962F08">
      <w:pPr>
        <w:spacing w:after="0" w:line="240" w:lineRule="auto"/>
        <w:jc w:val="both"/>
        <w:rPr>
          <w:rFonts w:ascii="Arial" w:hAnsi="Arial" w:cs="Arial"/>
          <w:sz w:val="24"/>
          <w:szCs w:val="24"/>
        </w:rPr>
      </w:pPr>
    </w:p>
    <w:p w14:paraId="016B59AC" w14:textId="77777777" w:rsidR="00962F08" w:rsidRPr="00AD73CC" w:rsidRDefault="00962F08" w:rsidP="00962F08">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0E5BD901" w14:textId="77777777" w:rsidR="00962F08" w:rsidRDefault="00962F08" w:rsidP="00962F08">
      <w:pPr>
        <w:spacing w:after="0" w:line="240" w:lineRule="auto"/>
        <w:jc w:val="both"/>
        <w:rPr>
          <w:rFonts w:ascii="Arial" w:hAnsi="Arial" w:cs="Arial"/>
          <w:sz w:val="24"/>
          <w:szCs w:val="24"/>
        </w:rPr>
      </w:pPr>
    </w:p>
    <w:p w14:paraId="74A0B3B5" w14:textId="77777777" w:rsidR="00962F08" w:rsidRPr="00887F70" w:rsidRDefault="00962F08" w:rsidP="00962F08">
      <w:pPr>
        <w:spacing w:after="0" w:line="240" w:lineRule="auto"/>
        <w:jc w:val="both"/>
        <w:rPr>
          <w:rFonts w:ascii="Arial" w:hAnsi="Arial" w:cs="Arial"/>
          <w:sz w:val="24"/>
          <w:szCs w:val="32"/>
          <w:lang w:val="en-US"/>
        </w:rPr>
      </w:pPr>
      <w:r>
        <w:rPr>
          <w:rFonts w:ascii="Arial" w:hAnsi="Arial" w:cs="Arial"/>
          <w:sz w:val="24"/>
          <w:szCs w:val="32"/>
          <w:lang w:val="en-US"/>
        </w:rPr>
        <w:t>At the Ordinary Meeting of Council of 26 June 2018, in consideration of item 11.1</w:t>
      </w:r>
      <w:r w:rsidRPr="00887F70">
        <w:rPr>
          <w:rFonts w:ascii="Arial" w:hAnsi="Arial" w:cs="Arial"/>
          <w:sz w:val="24"/>
          <w:szCs w:val="32"/>
          <w:lang w:val="en-US"/>
        </w:rPr>
        <w:t xml:space="preserve"> Future Use of Tawarri Site, Council </w:t>
      </w:r>
      <w:r>
        <w:rPr>
          <w:rFonts w:ascii="Arial" w:hAnsi="Arial" w:cs="Arial"/>
          <w:sz w:val="24"/>
          <w:szCs w:val="32"/>
          <w:lang w:val="en-US"/>
        </w:rPr>
        <w:t>resolved as follows:</w:t>
      </w:r>
    </w:p>
    <w:p w14:paraId="541B22DF" w14:textId="77777777" w:rsidR="00962F08" w:rsidRDefault="00962F08" w:rsidP="00962F08">
      <w:pPr>
        <w:spacing w:after="0" w:line="240" w:lineRule="auto"/>
        <w:jc w:val="both"/>
        <w:rPr>
          <w:rFonts w:ascii="Arial" w:hAnsi="Arial" w:cs="Arial"/>
          <w:sz w:val="24"/>
          <w:szCs w:val="24"/>
        </w:rPr>
      </w:pPr>
    </w:p>
    <w:p w14:paraId="3015ADD6" w14:textId="77777777" w:rsidR="00962F08" w:rsidRDefault="00962F08" w:rsidP="00962F08">
      <w:pPr>
        <w:autoSpaceDE w:val="0"/>
        <w:autoSpaceDN w:val="0"/>
        <w:adjustRightInd w:val="0"/>
        <w:spacing w:after="0" w:line="240" w:lineRule="auto"/>
        <w:rPr>
          <w:rFonts w:ascii="Arial" w:hAnsi="Arial" w:cs="Arial"/>
          <w:i/>
          <w:iCs/>
          <w:sz w:val="24"/>
          <w:szCs w:val="24"/>
        </w:rPr>
      </w:pPr>
      <w:r w:rsidRPr="003E5B75">
        <w:rPr>
          <w:rFonts w:ascii="Arial" w:hAnsi="Arial" w:cs="Arial"/>
          <w:i/>
          <w:iCs/>
          <w:sz w:val="24"/>
          <w:szCs w:val="24"/>
        </w:rPr>
        <w:t>Council:</w:t>
      </w:r>
    </w:p>
    <w:p w14:paraId="4ABAC900" w14:textId="77777777" w:rsidR="00962F08" w:rsidRPr="003E5B75" w:rsidRDefault="00962F08" w:rsidP="00962F08">
      <w:pPr>
        <w:autoSpaceDE w:val="0"/>
        <w:autoSpaceDN w:val="0"/>
        <w:adjustRightInd w:val="0"/>
        <w:spacing w:after="0" w:line="240" w:lineRule="auto"/>
        <w:rPr>
          <w:rFonts w:ascii="Arial" w:hAnsi="Arial" w:cs="Arial"/>
          <w:i/>
          <w:iCs/>
          <w:sz w:val="24"/>
          <w:szCs w:val="24"/>
        </w:rPr>
      </w:pPr>
    </w:p>
    <w:p w14:paraId="7ABDF22B"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 xml:space="preserve">approves Tawarri Hot Springs (THS) as the Preferred Proponent subject to future Council agreement on the terms and conditions of a conditional lease/sublease being prepared based on submitted concept plans dated 29th March 2018 for the </w:t>
      </w:r>
      <w:r w:rsidRPr="00EF5557">
        <w:rPr>
          <w:rFonts w:ascii="Arial" w:hAnsi="Arial" w:cs="Arial"/>
          <w:bCs/>
          <w:i/>
          <w:sz w:val="24"/>
          <w:szCs w:val="24"/>
        </w:rPr>
        <w:lastRenderedPageBreak/>
        <w:t>development of spa facilities, restaurant, café and function centre; as recommended by the Council appointed assessment panel;</w:t>
      </w:r>
    </w:p>
    <w:p w14:paraId="64004E69"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7ACCF678"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requests the Preferred Proponent to confirm within 90 days all details with respect of: approved access to groundwater supply; ground rental to be paid under the lease/sublease and proposed contribution to be paid to the City in lieu of parking requirements for the proposed development;</w:t>
      </w:r>
    </w:p>
    <w:p w14:paraId="2418621D"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5678CA93"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instructs the CEO to prepare a Business Case for submission to the Department of Planning Lands and Heritage seeking an amendment to the reserve for the excision of Lot 253 from A-Class Reserve, for a suitable status that enables a land lease arrangement for the site’s redevelopment by Councils Preferred Proponent;</w:t>
      </w:r>
    </w:p>
    <w:p w14:paraId="730053A6"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6E95F6DF"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instructs the CEO to commence negotiations and preparation of draft terms and conditions of a conditional lease/sublease with Councils Preferred Proponent utilising the City’s legal representatives in liaison with the Department of Planning Lands and Heritage;</w:t>
      </w:r>
    </w:p>
    <w:p w14:paraId="0A2CB4B0"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701C7829"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supports the Preferred Proponents application for a lease term of 50 years;</w:t>
      </w:r>
    </w:p>
    <w:p w14:paraId="0F3AADE4"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592DB401"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instructs the CEO to prepare a Business Plan for Council’s approval prior to public advertisement; and</w:t>
      </w:r>
    </w:p>
    <w:p w14:paraId="495F82B3" w14:textId="77777777" w:rsidR="00962F08" w:rsidRPr="00EF5557" w:rsidRDefault="00962F08" w:rsidP="00962F08">
      <w:pPr>
        <w:pStyle w:val="ListParagraph"/>
        <w:autoSpaceDE w:val="0"/>
        <w:autoSpaceDN w:val="0"/>
        <w:adjustRightInd w:val="0"/>
        <w:spacing w:after="0" w:line="240" w:lineRule="auto"/>
        <w:ind w:left="426"/>
        <w:jc w:val="both"/>
        <w:rPr>
          <w:rFonts w:ascii="Arial" w:hAnsi="Arial" w:cs="Arial"/>
          <w:bCs/>
          <w:i/>
          <w:sz w:val="24"/>
          <w:szCs w:val="24"/>
        </w:rPr>
      </w:pPr>
    </w:p>
    <w:p w14:paraId="7025DBED" w14:textId="77777777" w:rsidR="00962F08" w:rsidRPr="00EF5557" w:rsidRDefault="00962F08" w:rsidP="00962F08">
      <w:pPr>
        <w:pStyle w:val="ListParagraph"/>
        <w:numPr>
          <w:ilvl w:val="0"/>
          <w:numId w:val="28"/>
        </w:numPr>
        <w:autoSpaceDE w:val="0"/>
        <w:autoSpaceDN w:val="0"/>
        <w:adjustRightInd w:val="0"/>
        <w:spacing w:after="0" w:line="240" w:lineRule="auto"/>
        <w:ind w:left="426" w:hanging="426"/>
        <w:jc w:val="both"/>
        <w:rPr>
          <w:rFonts w:ascii="Arial" w:hAnsi="Arial" w:cs="Arial"/>
          <w:bCs/>
          <w:i/>
          <w:sz w:val="24"/>
          <w:szCs w:val="24"/>
        </w:rPr>
      </w:pPr>
      <w:r w:rsidRPr="00EF5557">
        <w:rPr>
          <w:rFonts w:ascii="Arial" w:hAnsi="Arial" w:cs="Arial"/>
          <w:bCs/>
          <w:i/>
          <w:sz w:val="24"/>
          <w:szCs w:val="24"/>
        </w:rPr>
        <w:t>instructs the CEO to provide a report back to Council following the advertisement of the Business Plan seeking Council approval prior to entering into a conditional lease/sublease arrangement with the Preferred Proponent.</w:t>
      </w:r>
    </w:p>
    <w:p w14:paraId="7772F733" w14:textId="77777777" w:rsidR="00962F08" w:rsidRDefault="00962F08" w:rsidP="00962F08">
      <w:pPr>
        <w:spacing w:after="0" w:line="240" w:lineRule="auto"/>
        <w:jc w:val="both"/>
        <w:rPr>
          <w:rFonts w:ascii="Arial" w:hAnsi="Arial" w:cs="Arial"/>
          <w:sz w:val="24"/>
          <w:szCs w:val="24"/>
        </w:rPr>
      </w:pPr>
    </w:p>
    <w:p w14:paraId="10825325" w14:textId="77777777" w:rsidR="00962F08" w:rsidRPr="00887F70" w:rsidRDefault="00962F08" w:rsidP="00962F08">
      <w:pPr>
        <w:spacing w:after="0" w:line="240" w:lineRule="auto"/>
        <w:jc w:val="both"/>
        <w:rPr>
          <w:rFonts w:ascii="Arial" w:hAnsi="Arial" w:cs="Arial"/>
          <w:sz w:val="24"/>
          <w:szCs w:val="32"/>
          <w:lang w:val="en-US"/>
        </w:rPr>
      </w:pPr>
      <w:r>
        <w:rPr>
          <w:rFonts w:ascii="Arial" w:hAnsi="Arial" w:cs="Arial"/>
          <w:sz w:val="24"/>
          <w:szCs w:val="32"/>
          <w:lang w:val="en-US"/>
        </w:rPr>
        <w:t>At the Ordinary Meeting of Council of 27 February 2018, in consideration of item 13.8</w:t>
      </w:r>
      <w:r w:rsidRPr="00887F70">
        <w:rPr>
          <w:rFonts w:ascii="Arial" w:hAnsi="Arial" w:cs="Arial"/>
          <w:sz w:val="24"/>
          <w:szCs w:val="32"/>
          <w:lang w:val="en-US"/>
        </w:rPr>
        <w:t xml:space="preserve"> Future Use of Tawarri Site</w:t>
      </w:r>
      <w:r>
        <w:rPr>
          <w:rFonts w:ascii="Arial" w:hAnsi="Arial" w:cs="Arial"/>
          <w:sz w:val="24"/>
          <w:szCs w:val="32"/>
          <w:lang w:val="en-US"/>
        </w:rPr>
        <w:t xml:space="preserve"> – Assessment Panel</w:t>
      </w:r>
      <w:r w:rsidRPr="00887F70">
        <w:rPr>
          <w:rFonts w:ascii="Arial" w:hAnsi="Arial" w:cs="Arial"/>
          <w:sz w:val="24"/>
          <w:szCs w:val="32"/>
          <w:lang w:val="en-US"/>
        </w:rPr>
        <w:t xml:space="preserve">, Council </w:t>
      </w:r>
      <w:r>
        <w:rPr>
          <w:rFonts w:ascii="Arial" w:hAnsi="Arial" w:cs="Arial"/>
          <w:sz w:val="24"/>
          <w:szCs w:val="32"/>
          <w:lang w:val="en-US"/>
        </w:rPr>
        <w:t>resolved as follows:</w:t>
      </w:r>
    </w:p>
    <w:p w14:paraId="72BC7068" w14:textId="77777777" w:rsidR="00962F08" w:rsidRDefault="00962F08" w:rsidP="00962F08">
      <w:pPr>
        <w:autoSpaceDE w:val="0"/>
        <w:autoSpaceDN w:val="0"/>
        <w:adjustRightInd w:val="0"/>
        <w:spacing w:after="0" w:line="240" w:lineRule="auto"/>
        <w:rPr>
          <w:rFonts w:ascii="Arial" w:hAnsi="Arial" w:cs="Arial"/>
          <w:b/>
          <w:i/>
          <w:sz w:val="24"/>
          <w:szCs w:val="24"/>
          <w:lang w:val="en-US"/>
        </w:rPr>
      </w:pPr>
    </w:p>
    <w:p w14:paraId="423127F0" w14:textId="77777777" w:rsidR="00962F08" w:rsidRDefault="00962F08" w:rsidP="00962F08">
      <w:pPr>
        <w:autoSpaceDE w:val="0"/>
        <w:autoSpaceDN w:val="0"/>
        <w:adjustRightInd w:val="0"/>
        <w:spacing w:after="0" w:line="240" w:lineRule="auto"/>
        <w:rPr>
          <w:rFonts w:ascii="Arial" w:hAnsi="Arial" w:cs="Arial"/>
          <w:bCs/>
          <w:i/>
          <w:sz w:val="24"/>
          <w:szCs w:val="24"/>
        </w:rPr>
      </w:pPr>
      <w:r w:rsidRPr="00271407">
        <w:rPr>
          <w:rFonts w:ascii="Arial" w:hAnsi="Arial" w:cs="Arial"/>
          <w:bCs/>
          <w:i/>
          <w:sz w:val="24"/>
          <w:szCs w:val="24"/>
        </w:rPr>
        <w:t>Council:</w:t>
      </w:r>
    </w:p>
    <w:p w14:paraId="72D5FA3A" w14:textId="77777777" w:rsidR="00962F08" w:rsidRPr="00271407" w:rsidRDefault="00962F08" w:rsidP="00962F08">
      <w:pPr>
        <w:autoSpaceDE w:val="0"/>
        <w:autoSpaceDN w:val="0"/>
        <w:adjustRightInd w:val="0"/>
        <w:spacing w:after="0" w:line="240" w:lineRule="auto"/>
        <w:ind w:left="567" w:hanging="141"/>
        <w:rPr>
          <w:rFonts w:ascii="Arial" w:hAnsi="Arial" w:cs="Arial"/>
          <w:bCs/>
          <w:i/>
          <w:sz w:val="24"/>
          <w:szCs w:val="24"/>
        </w:rPr>
      </w:pPr>
    </w:p>
    <w:p w14:paraId="15ED6D52" w14:textId="77777777" w:rsidR="00962F08" w:rsidRPr="00271407" w:rsidRDefault="00962F08" w:rsidP="00962F08">
      <w:pPr>
        <w:pStyle w:val="ListParagraph"/>
        <w:numPr>
          <w:ilvl w:val="0"/>
          <w:numId w:val="30"/>
        </w:numPr>
        <w:autoSpaceDE w:val="0"/>
        <w:autoSpaceDN w:val="0"/>
        <w:adjustRightInd w:val="0"/>
        <w:spacing w:after="0" w:line="240" w:lineRule="auto"/>
        <w:ind w:left="426" w:hanging="426"/>
        <w:jc w:val="both"/>
        <w:rPr>
          <w:rFonts w:ascii="Arial" w:hAnsi="Arial" w:cs="Arial"/>
          <w:bCs/>
          <w:i/>
          <w:sz w:val="24"/>
          <w:szCs w:val="24"/>
        </w:rPr>
      </w:pPr>
      <w:r w:rsidRPr="00271407">
        <w:rPr>
          <w:rFonts w:ascii="Arial" w:hAnsi="Arial" w:cs="Arial"/>
          <w:bCs/>
          <w:i/>
          <w:sz w:val="24"/>
          <w:szCs w:val="24"/>
        </w:rPr>
        <w:t>Appoints a panel for the purpose of assessing formal proposals for the future development and lease of the Tawarri Site consisting of:</w:t>
      </w:r>
    </w:p>
    <w:p w14:paraId="5087AC25" w14:textId="77777777" w:rsidR="00962F08" w:rsidRPr="00271407" w:rsidRDefault="00962F08" w:rsidP="00962F08">
      <w:pPr>
        <w:pStyle w:val="ListParagraph"/>
        <w:autoSpaceDE w:val="0"/>
        <w:autoSpaceDN w:val="0"/>
        <w:adjustRightInd w:val="0"/>
        <w:spacing w:after="0" w:line="240" w:lineRule="auto"/>
        <w:ind w:left="927"/>
        <w:jc w:val="both"/>
        <w:rPr>
          <w:rFonts w:ascii="Arial" w:hAnsi="Arial" w:cs="Arial"/>
          <w:bCs/>
          <w:i/>
          <w:sz w:val="24"/>
          <w:szCs w:val="24"/>
        </w:rPr>
      </w:pPr>
    </w:p>
    <w:p w14:paraId="7FE3DA9C" w14:textId="77777777" w:rsidR="00962F08" w:rsidRPr="00271407" w:rsidRDefault="00962F08" w:rsidP="00962F08">
      <w:pPr>
        <w:pStyle w:val="ListParagraph"/>
        <w:numPr>
          <w:ilvl w:val="1"/>
          <w:numId w:val="30"/>
        </w:numPr>
        <w:autoSpaceDE w:val="0"/>
        <w:autoSpaceDN w:val="0"/>
        <w:adjustRightInd w:val="0"/>
        <w:spacing w:after="0" w:line="240" w:lineRule="auto"/>
        <w:ind w:left="851" w:hanging="425"/>
        <w:jc w:val="both"/>
        <w:rPr>
          <w:rFonts w:ascii="Arial" w:hAnsi="Arial" w:cs="Arial"/>
          <w:bCs/>
          <w:i/>
          <w:sz w:val="24"/>
          <w:szCs w:val="24"/>
        </w:rPr>
      </w:pPr>
      <w:r w:rsidRPr="00271407">
        <w:rPr>
          <w:rFonts w:ascii="Arial" w:hAnsi="Arial" w:cs="Arial"/>
          <w:bCs/>
          <w:i/>
          <w:sz w:val="24"/>
          <w:szCs w:val="24"/>
        </w:rPr>
        <w:t>The Mayor;</w:t>
      </w:r>
    </w:p>
    <w:p w14:paraId="63468456" w14:textId="77777777" w:rsidR="00962F08" w:rsidRPr="00271407" w:rsidRDefault="00962F08" w:rsidP="00962F08">
      <w:pPr>
        <w:pStyle w:val="ListParagraph"/>
        <w:numPr>
          <w:ilvl w:val="1"/>
          <w:numId w:val="30"/>
        </w:numPr>
        <w:autoSpaceDE w:val="0"/>
        <w:autoSpaceDN w:val="0"/>
        <w:adjustRightInd w:val="0"/>
        <w:spacing w:after="0" w:line="240" w:lineRule="auto"/>
        <w:ind w:left="851" w:hanging="425"/>
        <w:jc w:val="both"/>
        <w:rPr>
          <w:rFonts w:ascii="Arial" w:hAnsi="Arial" w:cs="Arial"/>
          <w:bCs/>
          <w:i/>
          <w:sz w:val="24"/>
          <w:szCs w:val="24"/>
        </w:rPr>
      </w:pPr>
      <w:r w:rsidRPr="00271407">
        <w:rPr>
          <w:rFonts w:ascii="Arial" w:hAnsi="Arial" w:cs="Arial"/>
          <w:bCs/>
          <w:i/>
          <w:sz w:val="24"/>
          <w:szCs w:val="24"/>
        </w:rPr>
        <w:t>Two Elected Members (Councillor Argyle &amp; Councillor Smyth as nominated by Council at this meeting;</w:t>
      </w:r>
    </w:p>
    <w:p w14:paraId="234FC637" w14:textId="77777777" w:rsidR="00962F08" w:rsidRPr="00271407" w:rsidRDefault="00962F08" w:rsidP="00962F08">
      <w:pPr>
        <w:pStyle w:val="ListParagraph"/>
        <w:numPr>
          <w:ilvl w:val="1"/>
          <w:numId w:val="30"/>
        </w:numPr>
        <w:autoSpaceDE w:val="0"/>
        <w:autoSpaceDN w:val="0"/>
        <w:adjustRightInd w:val="0"/>
        <w:spacing w:after="0" w:line="240" w:lineRule="auto"/>
        <w:ind w:left="851" w:hanging="425"/>
        <w:jc w:val="both"/>
        <w:rPr>
          <w:rFonts w:ascii="Arial" w:hAnsi="Arial" w:cs="Arial"/>
          <w:bCs/>
          <w:i/>
          <w:sz w:val="24"/>
          <w:szCs w:val="24"/>
        </w:rPr>
      </w:pPr>
      <w:r w:rsidRPr="00271407">
        <w:rPr>
          <w:rFonts w:ascii="Arial" w:hAnsi="Arial" w:cs="Arial"/>
          <w:bCs/>
          <w:i/>
          <w:sz w:val="24"/>
          <w:szCs w:val="24"/>
        </w:rPr>
        <w:t>The Chief Executive Officer;</w:t>
      </w:r>
    </w:p>
    <w:p w14:paraId="4673DFD5" w14:textId="77777777" w:rsidR="00962F08" w:rsidRPr="00271407" w:rsidRDefault="00962F08" w:rsidP="00962F08">
      <w:pPr>
        <w:pStyle w:val="ListParagraph"/>
        <w:numPr>
          <w:ilvl w:val="1"/>
          <w:numId w:val="30"/>
        </w:numPr>
        <w:autoSpaceDE w:val="0"/>
        <w:autoSpaceDN w:val="0"/>
        <w:adjustRightInd w:val="0"/>
        <w:spacing w:after="0" w:line="240" w:lineRule="auto"/>
        <w:ind w:left="851" w:hanging="425"/>
        <w:jc w:val="both"/>
        <w:rPr>
          <w:rFonts w:ascii="Arial" w:hAnsi="Arial" w:cs="Arial"/>
          <w:bCs/>
          <w:i/>
          <w:sz w:val="24"/>
          <w:szCs w:val="24"/>
        </w:rPr>
      </w:pPr>
      <w:r w:rsidRPr="00271407">
        <w:rPr>
          <w:rFonts w:ascii="Arial" w:hAnsi="Arial" w:cs="Arial"/>
          <w:bCs/>
          <w:i/>
          <w:sz w:val="24"/>
          <w:szCs w:val="24"/>
        </w:rPr>
        <w:t>John Adcock of Adroit Consulting; and</w:t>
      </w:r>
    </w:p>
    <w:p w14:paraId="665EBC87" w14:textId="77777777" w:rsidR="00962F08" w:rsidRPr="00271407" w:rsidRDefault="00962F08" w:rsidP="00962F08">
      <w:pPr>
        <w:pStyle w:val="ListParagraph"/>
        <w:numPr>
          <w:ilvl w:val="1"/>
          <w:numId w:val="30"/>
        </w:numPr>
        <w:autoSpaceDE w:val="0"/>
        <w:autoSpaceDN w:val="0"/>
        <w:adjustRightInd w:val="0"/>
        <w:spacing w:after="0" w:line="240" w:lineRule="auto"/>
        <w:ind w:left="851" w:hanging="425"/>
        <w:jc w:val="both"/>
        <w:rPr>
          <w:rFonts w:ascii="Arial" w:hAnsi="Arial" w:cs="Arial"/>
          <w:bCs/>
          <w:i/>
          <w:sz w:val="24"/>
          <w:szCs w:val="24"/>
        </w:rPr>
      </w:pPr>
      <w:r w:rsidRPr="00271407">
        <w:rPr>
          <w:rFonts w:ascii="Arial" w:hAnsi="Arial" w:cs="Arial"/>
          <w:bCs/>
          <w:i/>
          <w:sz w:val="24"/>
          <w:szCs w:val="24"/>
        </w:rPr>
        <w:t>State President of the Australian Institute of Architects or their professional nominee;</w:t>
      </w:r>
    </w:p>
    <w:p w14:paraId="5B737230" w14:textId="77777777" w:rsidR="00962F08" w:rsidRPr="00271407" w:rsidRDefault="00962F08" w:rsidP="00962F08">
      <w:pPr>
        <w:autoSpaceDE w:val="0"/>
        <w:autoSpaceDN w:val="0"/>
        <w:adjustRightInd w:val="0"/>
        <w:spacing w:after="0" w:line="240" w:lineRule="auto"/>
        <w:ind w:left="1276" w:hanging="142"/>
        <w:jc w:val="both"/>
        <w:rPr>
          <w:rFonts w:ascii="Arial" w:hAnsi="Arial" w:cs="Arial"/>
          <w:bCs/>
          <w:i/>
          <w:sz w:val="24"/>
          <w:szCs w:val="24"/>
        </w:rPr>
      </w:pPr>
    </w:p>
    <w:p w14:paraId="76F091E5" w14:textId="77777777" w:rsidR="00962F08" w:rsidRDefault="00962F08" w:rsidP="00962F08">
      <w:pPr>
        <w:pStyle w:val="ListParagraph"/>
        <w:numPr>
          <w:ilvl w:val="0"/>
          <w:numId w:val="30"/>
        </w:numPr>
        <w:autoSpaceDE w:val="0"/>
        <w:autoSpaceDN w:val="0"/>
        <w:adjustRightInd w:val="0"/>
        <w:spacing w:after="0" w:line="240" w:lineRule="auto"/>
        <w:ind w:left="426" w:hanging="426"/>
        <w:jc w:val="both"/>
        <w:rPr>
          <w:rFonts w:ascii="Arial" w:hAnsi="Arial" w:cs="Arial"/>
          <w:bCs/>
          <w:i/>
          <w:sz w:val="24"/>
          <w:szCs w:val="24"/>
        </w:rPr>
      </w:pPr>
      <w:r w:rsidRPr="00271407">
        <w:rPr>
          <w:rFonts w:ascii="Arial" w:hAnsi="Arial" w:cs="Arial"/>
          <w:bCs/>
          <w:i/>
          <w:sz w:val="24"/>
          <w:szCs w:val="24"/>
        </w:rPr>
        <w:t>Instructs the assessment panel to provide a report back to Council detailing the recommended development, that best addresses the assessment criteria</w:t>
      </w:r>
      <w:r>
        <w:rPr>
          <w:rFonts w:ascii="Arial" w:hAnsi="Arial" w:cs="Arial"/>
          <w:bCs/>
          <w:i/>
          <w:sz w:val="24"/>
          <w:szCs w:val="24"/>
        </w:rPr>
        <w:t xml:space="preserve"> </w:t>
      </w:r>
      <w:r w:rsidRPr="00271407">
        <w:rPr>
          <w:rFonts w:ascii="Arial" w:hAnsi="Arial" w:cs="Arial"/>
          <w:bCs/>
          <w:i/>
          <w:sz w:val="24"/>
          <w:szCs w:val="24"/>
        </w:rPr>
        <w:t>seeking a resolution to proceed to the next stage for redevelopment of the site; and</w:t>
      </w:r>
    </w:p>
    <w:p w14:paraId="061A0511" w14:textId="77777777" w:rsidR="00962F08" w:rsidRPr="00271407" w:rsidRDefault="00962F08" w:rsidP="00962F08">
      <w:pPr>
        <w:pStyle w:val="ListParagraph"/>
        <w:autoSpaceDE w:val="0"/>
        <w:autoSpaceDN w:val="0"/>
        <w:adjustRightInd w:val="0"/>
        <w:spacing w:after="0" w:line="240" w:lineRule="auto"/>
        <w:ind w:left="927"/>
        <w:jc w:val="both"/>
        <w:rPr>
          <w:rFonts w:ascii="Arial" w:hAnsi="Arial" w:cs="Arial"/>
          <w:bCs/>
          <w:i/>
          <w:sz w:val="24"/>
          <w:szCs w:val="24"/>
        </w:rPr>
      </w:pPr>
    </w:p>
    <w:p w14:paraId="2F410EDB" w14:textId="77777777" w:rsidR="00962F08" w:rsidRPr="00271407" w:rsidRDefault="00962F08" w:rsidP="00962F08">
      <w:pPr>
        <w:pStyle w:val="ListParagraph"/>
        <w:numPr>
          <w:ilvl w:val="0"/>
          <w:numId w:val="30"/>
        </w:numPr>
        <w:autoSpaceDE w:val="0"/>
        <w:autoSpaceDN w:val="0"/>
        <w:adjustRightInd w:val="0"/>
        <w:spacing w:after="0" w:line="240" w:lineRule="auto"/>
        <w:ind w:left="426" w:hanging="426"/>
        <w:jc w:val="both"/>
        <w:rPr>
          <w:rFonts w:ascii="Arial" w:hAnsi="Arial" w:cs="Arial"/>
          <w:bCs/>
          <w:i/>
          <w:sz w:val="24"/>
          <w:szCs w:val="24"/>
        </w:rPr>
      </w:pPr>
      <w:r w:rsidRPr="00271407">
        <w:rPr>
          <w:rFonts w:ascii="Arial" w:hAnsi="Arial" w:cs="Arial"/>
          <w:bCs/>
          <w:i/>
          <w:sz w:val="24"/>
          <w:szCs w:val="24"/>
        </w:rPr>
        <w:t>Notes the government approvals required prior to development proceeding.</w:t>
      </w:r>
    </w:p>
    <w:p w14:paraId="6DE3AB71" w14:textId="6F560BF1" w:rsidR="00962F08" w:rsidRDefault="00962F08" w:rsidP="00962F08">
      <w:pPr>
        <w:spacing w:after="0" w:line="240" w:lineRule="auto"/>
        <w:jc w:val="both"/>
        <w:rPr>
          <w:rFonts w:ascii="Arial" w:hAnsi="Arial" w:cs="Arial"/>
          <w:sz w:val="24"/>
          <w:szCs w:val="24"/>
        </w:rPr>
      </w:pPr>
    </w:p>
    <w:p w14:paraId="53151556" w14:textId="77777777" w:rsidR="00A65AA8" w:rsidRDefault="00A65AA8" w:rsidP="00962F08">
      <w:pPr>
        <w:spacing w:after="0" w:line="240" w:lineRule="auto"/>
        <w:jc w:val="both"/>
        <w:rPr>
          <w:rFonts w:ascii="Arial" w:hAnsi="Arial" w:cs="Arial"/>
          <w:sz w:val="24"/>
          <w:szCs w:val="24"/>
        </w:rPr>
      </w:pPr>
    </w:p>
    <w:p w14:paraId="5234FD9E" w14:textId="77777777" w:rsidR="00962F08" w:rsidRPr="00AD73CC" w:rsidRDefault="00962F08" w:rsidP="00962F08">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55F28212" w14:textId="77777777" w:rsidR="00962F08" w:rsidRDefault="00962F08" w:rsidP="00962F08">
      <w:pPr>
        <w:spacing w:after="0" w:line="240" w:lineRule="auto"/>
        <w:jc w:val="both"/>
        <w:rPr>
          <w:rFonts w:ascii="Arial" w:hAnsi="Arial" w:cs="Arial"/>
          <w:sz w:val="24"/>
          <w:szCs w:val="24"/>
        </w:rPr>
      </w:pPr>
    </w:p>
    <w:p w14:paraId="5374C70D" w14:textId="6EACA2F8" w:rsidR="00962F08" w:rsidRDefault="00962F08" w:rsidP="00962F08">
      <w:pPr>
        <w:spacing w:after="0" w:line="240" w:lineRule="auto"/>
        <w:jc w:val="both"/>
        <w:rPr>
          <w:rFonts w:ascii="Arial" w:hAnsi="Arial" w:cs="Arial"/>
          <w:sz w:val="24"/>
          <w:szCs w:val="24"/>
        </w:rPr>
      </w:pPr>
      <w:r>
        <w:rPr>
          <w:rFonts w:ascii="Arial" w:hAnsi="Arial" w:cs="Arial"/>
          <w:sz w:val="24"/>
          <w:szCs w:val="24"/>
        </w:rPr>
        <w:t xml:space="preserve">The City published information about Tawarri on its community engagement page, ‘Your Voice Nedlands’ for over a year and released a public media release including information in the Nedlands full page POST advert.  These detailed the steps being undertaken to identify a suitable outcome for </w:t>
      </w:r>
      <w:proofErr w:type="spellStart"/>
      <w:r>
        <w:rPr>
          <w:rFonts w:ascii="Arial" w:hAnsi="Arial" w:cs="Arial"/>
          <w:sz w:val="24"/>
          <w:szCs w:val="24"/>
        </w:rPr>
        <w:t>Tawarri</w:t>
      </w:r>
      <w:r w:rsidR="002E55F5">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future and included detail about the proposals received during the expression of interest process that were being considered.  Councillors have been kept up to date on the progression of the project through CEO updates and briefings, with determining the future of Tawarri having been identified as a priority in the City Strategic Community Plans since the first Plan was developed and published in 2013.</w:t>
      </w:r>
    </w:p>
    <w:p w14:paraId="420527BF" w14:textId="77777777" w:rsidR="00962F08" w:rsidRDefault="00962F08" w:rsidP="00962F08">
      <w:pPr>
        <w:spacing w:after="0" w:line="240" w:lineRule="auto"/>
        <w:jc w:val="both"/>
        <w:rPr>
          <w:rFonts w:ascii="Arial" w:hAnsi="Arial" w:cs="Arial"/>
          <w:sz w:val="24"/>
          <w:szCs w:val="24"/>
        </w:rPr>
      </w:pPr>
    </w:p>
    <w:p w14:paraId="5AD2A50C" w14:textId="77777777" w:rsidR="00962F08" w:rsidRDefault="00962F08" w:rsidP="00962F08">
      <w:pPr>
        <w:spacing w:after="0" w:line="240" w:lineRule="auto"/>
        <w:jc w:val="both"/>
        <w:rPr>
          <w:rFonts w:ascii="Arial" w:hAnsi="Arial" w:cs="Arial"/>
          <w:sz w:val="24"/>
          <w:szCs w:val="24"/>
        </w:rPr>
      </w:pPr>
      <w:proofErr w:type="gramStart"/>
      <w:r>
        <w:rPr>
          <w:rFonts w:ascii="Arial" w:hAnsi="Arial" w:cs="Arial"/>
          <w:sz w:val="24"/>
          <w:szCs w:val="24"/>
        </w:rPr>
        <w:t>With the exception of</w:t>
      </w:r>
      <w:proofErr w:type="gramEnd"/>
      <w:r>
        <w:rPr>
          <w:rFonts w:ascii="Arial" w:hAnsi="Arial" w:cs="Arial"/>
          <w:sz w:val="24"/>
          <w:szCs w:val="24"/>
        </w:rPr>
        <w:t xml:space="preserve"> one public letter to the ‘Post’ (Page 2, 14 July 2018) in response to a front-page publication about Councils endorsement of the THS proposal, the City has received no negative feedback about the proposal in any form.  This letter supported the idea of hot springs, but suggested the plans published were </w:t>
      </w:r>
      <w:r w:rsidRPr="00AD1E65">
        <w:rPr>
          <w:rFonts w:ascii="Arial" w:hAnsi="Arial" w:cs="Arial"/>
          <w:i/>
          <w:iCs/>
          <w:sz w:val="24"/>
          <w:szCs w:val="24"/>
        </w:rPr>
        <w:t>perhaps a little “exclusive”</w:t>
      </w:r>
      <w:r>
        <w:rPr>
          <w:rFonts w:ascii="Arial" w:hAnsi="Arial" w:cs="Arial"/>
          <w:sz w:val="24"/>
          <w:szCs w:val="24"/>
        </w:rPr>
        <w:t xml:space="preserve"> and suggested the hot springs be re-established </w:t>
      </w:r>
      <w:r w:rsidRPr="00AD1E65">
        <w:rPr>
          <w:rFonts w:ascii="Arial" w:hAnsi="Arial" w:cs="Arial"/>
          <w:i/>
          <w:iCs/>
          <w:sz w:val="24"/>
          <w:szCs w:val="24"/>
        </w:rPr>
        <w:t>and made</w:t>
      </w:r>
      <w:r>
        <w:rPr>
          <w:rFonts w:ascii="Arial" w:hAnsi="Arial" w:cs="Arial"/>
          <w:i/>
          <w:iCs/>
          <w:sz w:val="24"/>
          <w:szCs w:val="24"/>
        </w:rPr>
        <w:t xml:space="preserve"> </w:t>
      </w:r>
      <w:r w:rsidRPr="00AD1E65">
        <w:rPr>
          <w:rFonts w:ascii="Arial" w:hAnsi="Arial" w:cs="Arial"/>
          <w:i/>
          <w:iCs/>
          <w:sz w:val="24"/>
          <w:szCs w:val="24"/>
        </w:rPr>
        <w:t>available for the public enjoyment of all</w:t>
      </w:r>
      <w:r>
        <w:rPr>
          <w:rFonts w:ascii="Arial" w:hAnsi="Arial" w:cs="Arial"/>
          <w:sz w:val="24"/>
          <w:szCs w:val="24"/>
        </w:rPr>
        <w:t>.   The THS model proposes the facility be open to the public for an entry fee, which is consistent with Council provided aquatic facilities in other LG areas.  THS therefore effectively will, ‘bring back’ the hot springs and make them available for the enjoyment of the public, the costs and management of such being beyond the remit or resources of the City to deliver itself.</w:t>
      </w:r>
    </w:p>
    <w:p w14:paraId="5E12B551" w14:textId="77777777" w:rsidR="00962F08" w:rsidRDefault="00962F08" w:rsidP="00962F08">
      <w:pPr>
        <w:spacing w:after="0" w:line="240" w:lineRule="auto"/>
        <w:jc w:val="both"/>
        <w:rPr>
          <w:rFonts w:ascii="Arial" w:hAnsi="Arial" w:cs="Arial"/>
          <w:sz w:val="24"/>
          <w:szCs w:val="24"/>
        </w:rPr>
      </w:pPr>
    </w:p>
    <w:p w14:paraId="0EC2DD37" w14:textId="77777777" w:rsidR="00962F08" w:rsidRDefault="00962F08" w:rsidP="00962F08">
      <w:pPr>
        <w:spacing w:line="240" w:lineRule="auto"/>
        <w:jc w:val="both"/>
        <w:rPr>
          <w:rFonts w:ascii="Arial" w:hAnsi="Arial" w:cs="Arial"/>
          <w:sz w:val="24"/>
          <w:szCs w:val="24"/>
        </w:rPr>
      </w:pPr>
      <w:r>
        <w:rPr>
          <w:rFonts w:ascii="Arial" w:hAnsi="Arial" w:cs="Arial"/>
          <w:sz w:val="24"/>
          <w:szCs w:val="24"/>
        </w:rPr>
        <w:t xml:space="preserve">There will be at further key sets of community engagement activities needing to be carried out.  These are noted on the timeline provided as </w:t>
      </w:r>
      <w:r w:rsidRPr="004B7BF6">
        <w:rPr>
          <w:rFonts w:ascii="Arial" w:hAnsi="Arial" w:cs="Arial"/>
          <w:sz w:val="24"/>
          <w:szCs w:val="24"/>
        </w:rPr>
        <w:t>Attachment 5.</w:t>
      </w:r>
      <w:r>
        <w:rPr>
          <w:rFonts w:ascii="Arial" w:hAnsi="Arial" w:cs="Arial"/>
          <w:sz w:val="24"/>
          <w:szCs w:val="24"/>
        </w:rPr>
        <w:t xml:space="preserve">  </w:t>
      </w:r>
    </w:p>
    <w:p w14:paraId="64AD32F6" w14:textId="77777777" w:rsidR="00962F08" w:rsidRDefault="00962F08" w:rsidP="00962F08">
      <w:pPr>
        <w:spacing w:line="240" w:lineRule="auto"/>
        <w:jc w:val="both"/>
        <w:rPr>
          <w:rFonts w:ascii="Arial" w:hAnsi="Arial" w:cs="Arial"/>
          <w:sz w:val="24"/>
          <w:szCs w:val="24"/>
        </w:rPr>
      </w:pPr>
      <w:r>
        <w:rPr>
          <w:rFonts w:ascii="Arial" w:hAnsi="Arial" w:cs="Arial"/>
          <w:sz w:val="24"/>
          <w:szCs w:val="24"/>
        </w:rPr>
        <w:t>These key sets of activities include:</w:t>
      </w:r>
    </w:p>
    <w:p w14:paraId="6388F91B" w14:textId="77777777" w:rsidR="00962F08" w:rsidRDefault="00962F08" w:rsidP="00962F08">
      <w:pPr>
        <w:pStyle w:val="ListParagraph"/>
        <w:numPr>
          <w:ilvl w:val="0"/>
          <w:numId w:val="29"/>
        </w:numPr>
        <w:spacing w:after="160" w:line="240" w:lineRule="auto"/>
        <w:jc w:val="both"/>
        <w:rPr>
          <w:rFonts w:ascii="Arial" w:hAnsi="Arial" w:cs="Arial"/>
          <w:sz w:val="24"/>
          <w:szCs w:val="24"/>
        </w:rPr>
      </w:pPr>
      <w:r>
        <w:rPr>
          <w:rFonts w:ascii="Arial" w:hAnsi="Arial" w:cs="Arial"/>
          <w:sz w:val="24"/>
          <w:szCs w:val="24"/>
        </w:rPr>
        <w:t xml:space="preserve">Community engagement by City policy – the City’s Community Engagement Policy promises to keep the public informed.  Inform community engagement is planned to be implemented at key stages throughout the whole process until the Lease documents are signed and there is a handover of the Tawarri site. </w:t>
      </w:r>
    </w:p>
    <w:p w14:paraId="18C976AC" w14:textId="77777777" w:rsidR="00962F08" w:rsidRDefault="00962F08" w:rsidP="00962F08">
      <w:pPr>
        <w:pStyle w:val="ListParagraph"/>
        <w:spacing w:after="160" w:line="240" w:lineRule="auto"/>
        <w:jc w:val="both"/>
        <w:rPr>
          <w:rFonts w:ascii="Arial" w:hAnsi="Arial" w:cs="Arial"/>
          <w:sz w:val="24"/>
          <w:szCs w:val="24"/>
        </w:rPr>
      </w:pPr>
      <w:r>
        <w:rPr>
          <w:rFonts w:ascii="Arial" w:hAnsi="Arial" w:cs="Arial"/>
          <w:sz w:val="24"/>
          <w:szCs w:val="24"/>
        </w:rPr>
        <w:t xml:space="preserve"> </w:t>
      </w:r>
    </w:p>
    <w:p w14:paraId="03DA739D" w14:textId="77777777" w:rsidR="00962F08" w:rsidRDefault="00962F08" w:rsidP="00962F08">
      <w:pPr>
        <w:pStyle w:val="ListParagraph"/>
        <w:numPr>
          <w:ilvl w:val="0"/>
          <w:numId w:val="29"/>
        </w:numPr>
        <w:spacing w:after="160" w:line="240" w:lineRule="auto"/>
        <w:jc w:val="both"/>
        <w:rPr>
          <w:rFonts w:ascii="Arial" w:hAnsi="Arial" w:cs="Arial"/>
          <w:sz w:val="24"/>
          <w:szCs w:val="24"/>
        </w:rPr>
      </w:pPr>
      <w:r>
        <w:rPr>
          <w:rFonts w:ascii="Arial" w:hAnsi="Arial" w:cs="Arial"/>
          <w:sz w:val="24"/>
          <w:szCs w:val="24"/>
        </w:rPr>
        <w:t>DLPH statutory consultation for tenure transfer.</w:t>
      </w:r>
    </w:p>
    <w:p w14:paraId="6E91FA51" w14:textId="77777777" w:rsidR="00962F08" w:rsidRPr="00B72708" w:rsidRDefault="00962F08" w:rsidP="00962F08">
      <w:pPr>
        <w:pStyle w:val="ListParagraph"/>
        <w:spacing w:after="160" w:line="240" w:lineRule="auto"/>
        <w:jc w:val="both"/>
        <w:rPr>
          <w:rFonts w:ascii="Arial" w:hAnsi="Arial" w:cs="Arial"/>
          <w:sz w:val="24"/>
          <w:szCs w:val="24"/>
        </w:rPr>
      </w:pPr>
    </w:p>
    <w:p w14:paraId="713CDCAD" w14:textId="77777777" w:rsidR="00962F08" w:rsidRDefault="00962F08" w:rsidP="00962F08">
      <w:pPr>
        <w:pStyle w:val="ListParagraph"/>
        <w:numPr>
          <w:ilvl w:val="0"/>
          <w:numId w:val="29"/>
        </w:numPr>
        <w:spacing w:after="160" w:line="240" w:lineRule="auto"/>
        <w:jc w:val="both"/>
        <w:rPr>
          <w:rFonts w:ascii="Arial" w:hAnsi="Arial" w:cs="Arial"/>
          <w:sz w:val="24"/>
          <w:szCs w:val="24"/>
        </w:rPr>
      </w:pPr>
      <w:r>
        <w:rPr>
          <w:rFonts w:ascii="Arial" w:hAnsi="Arial" w:cs="Arial"/>
          <w:sz w:val="24"/>
          <w:szCs w:val="24"/>
        </w:rPr>
        <w:t xml:space="preserve">Business Plan statutory requirements.  The City is required to produce and advertise a Business Plan inviting public submission under s3.59 of the </w:t>
      </w:r>
      <w:r w:rsidRPr="00D85B0A">
        <w:rPr>
          <w:rFonts w:ascii="Arial" w:hAnsi="Arial" w:cs="Arial"/>
          <w:i/>
          <w:iCs/>
          <w:sz w:val="24"/>
          <w:szCs w:val="24"/>
        </w:rPr>
        <w:t>Local Government Act 1995.</w:t>
      </w:r>
    </w:p>
    <w:p w14:paraId="46EABE60" w14:textId="77777777" w:rsidR="00962F08" w:rsidRPr="00D85B0A" w:rsidRDefault="00962F08" w:rsidP="00962F08">
      <w:pPr>
        <w:pStyle w:val="ListParagraph"/>
        <w:rPr>
          <w:rFonts w:ascii="Arial" w:hAnsi="Arial" w:cs="Arial"/>
          <w:sz w:val="24"/>
          <w:szCs w:val="24"/>
        </w:rPr>
      </w:pPr>
    </w:p>
    <w:p w14:paraId="36964783" w14:textId="77777777" w:rsidR="00962F08" w:rsidRPr="00043584" w:rsidRDefault="00962F08" w:rsidP="00962F08">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Part 5 application.  The Department for Biodiversity, Conservation and Attractions (DBCA) are an approval body for construction on the Tawarri site and will require a Part 5 application to be submitted.  DBCA advertise Part 5 applications prior to the Minister </w:t>
      </w:r>
      <w:proofErr w:type="gramStart"/>
      <w:r>
        <w:rPr>
          <w:rFonts w:ascii="Arial" w:hAnsi="Arial" w:cs="Arial"/>
          <w:sz w:val="24"/>
          <w:szCs w:val="24"/>
        </w:rPr>
        <w:t>making a determination</w:t>
      </w:r>
      <w:proofErr w:type="gramEnd"/>
      <w:r>
        <w:rPr>
          <w:rFonts w:ascii="Arial" w:hAnsi="Arial" w:cs="Arial"/>
          <w:sz w:val="24"/>
          <w:szCs w:val="24"/>
        </w:rPr>
        <w:t xml:space="preserve"> for the development and any conditions imposed on an approval issued. </w:t>
      </w:r>
    </w:p>
    <w:p w14:paraId="3E422FE0" w14:textId="77777777" w:rsidR="00962F08" w:rsidRDefault="00962F08" w:rsidP="00962F08">
      <w:pPr>
        <w:spacing w:after="0" w:line="240" w:lineRule="auto"/>
        <w:jc w:val="both"/>
        <w:rPr>
          <w:rFonts w:ascii="Arial" w:hAnsi="Arial" w:cs="Arial"/>
          <w:sz w:val="24"/>
          <w:szCs w:val="24"/>
        </w:rPr>
      </w:pPr>
    </w:p>
    <w:p w14:paraId="0C338290" w14:textId="77777777" w:rsidR="00962F08" w:rsidRPr="00AD73CC" w:rsidRDefault="00962F08" w:rsidP="00962F08">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F248E27" w14:textId="77777777" w:rsidR="00962F08" w:rsidRDefault="00962F08" w:rsidP="00962F08">
      <w:pPr>
        <w:spacing w:after="0" w:line="240" w:lineRule="auto"/>
        <w:jc w:val="both"/>
        <w:rPr>
          <w:rFonts w:ascii="Arial" w:hAnsi="Arial" w:cs="Arial"/>
          <w:sz w:val="24"/>
          <w:szCs w:val="24"/>
        </w:rPr>
      </w:pPr>
    </w:p>
    <w:p w14:paraId="286E3EB8" w14:textId="77777777" w:rsidR="00962F08" w:rsidRDefault="00962F08" w:rsidP="00962F08">
      <w:pPr>
        <w:spacing w:after="0" w:line="240" w:lineRule="auto"/>
        <w:jc w:val="both"/>
        <w:rPr>
          <w:rFonts w:ascii="Arial" w:hAnsi="Arial" w:cs="Arial"/>
          <w:sz w:val="24"/>
          <w:szCs w:val="24"/>
        </w:rPr>
      </w:pPr>
      <w:r>
        <w:rPr>
          <w:rFonts w:ascii="Arial" w:hAnsi="Arial" w:cs="Arial"/>
          <w:sz w:val="24"/>
          <w:szCs w:val="24"/>
        </w:rPr>
        <w:t xml:space="preserve">Should Council resolve not to proceed with the recommendation in this report, a budget for demolition of the existing building and return to parkland will be sought in future budgets. </w:t>
      </w:r>
    </w:p>
    <w:p w14:paraId="2868D670" w14:textId="77777777" w:rsidR="00962F08" w:rsidRDefault="00962F08" w:rsidP="00962F08">
      <w:pPr>
        <w:spacing w:after="0" w:line="240" w:lineRule="auto"/>
        <w:jc w:val="both"/>
        <w:rPr>
          <w:rFonts w:ascii="Arial" w:hAnsi="Arial" w:cs="Arial"/>
          <w:sz w:val="24"/>
          <w:szCs w:val="24"/>
        </w:rPr>
      </w:pPr>
    </w:p>
    <w:p w14:paraId="58F74600" w14:textId="77777777" w:rsidR="00962F08" w:rsidRDefault="00962F08" w:rsidP="00962F08">
      <w:pPr>
        <w:spacing w:after="0" w:line="240" w:lineRule="auto"/>
        <w:jc w:val="both"/>
        <w:rPr>
          <w:rFonts w:ascii="Arial" w:hAnsi="Arial" w:cs="Arial"/>
          <w:sz w:val="24"/>
          <w:szCs w:val="24"/>
        </w:rPr>
      </w:pPr>
      <w:r>
        <w:rPr>
          <w:rFonts w:ascii="Arial" w:hAnsi="Arial" w:cs="Arial"/>
          <w:sz w:val="24"/>
          <w:szCs w:val="24"/>
        </w:rPr>
        <w:t>Should Council proceed with resolving to approve the HOA as recommended in this report, the City only requires to budget for minimal operating costs associated with the management of the existing building until such a time that the site is handed to THS, to allow for continuing the security monitoring and fencing of the building on the site.</w:t>
      </w:r>
    </w:p>
    <w:p w14:paraId="21455A80" w14:textId="77777777" w:rsidR="00962F08" w:rsidRDefault="00962F08" w:rsidP="00962F08">
      <w:pPr>
        <w:spacing w:after="0" w:line="240" w:lineRule="auto"/>
        <w:jc w:val="both"/>
        <w:rPr>
          <w:rFonts w:ascii="Arial" w:hAnsi="Arial" w:cs="Arial"/>
          <w:sz w:val="24"/>
          <w:szCs w:val="24"/>
        </w:rPr>
      </w:pPr>
    </w:p>
    <w:p w14:paraId="7CAD9492" w14:textId="77777777" w:rsidR="00962F08" w:rsidRPr="00586CC0" w:rsidRDefault="00962F08" w:rsidP="00962F08">
      <w:pPr>
        <w:spacing w:after="0" w:line="240" w:lineRule="auto"/>
        <w:jc w:val="both"/>
        <w:rPr>
          <w:rFonts w:ascii="Arial" w:hAnsi="Arial" w:cs="Arial"/>
          <w:sz w:val="24"/>
          <w:szCs w:val="24"/>
        </w:rPr>
      </w:pPr>
      <w:r>
        <w:rPr>
          <w:rFonts w:ascii="Arial" w:hAnsi="Arial" w:cs="Arial"/>
          <w:sz w:val="24"/>
          <w:szCs w:val="24"/>
        </w:rPr>
        <w:t xml:space="preserve">Advice fees and other administrative costs are within the existing budget provisions. </w:t>
      </w:r>
    </w:p>
    <w:p w14:paraId="2A29AE76" w14:textId="77777777" w:rsidR="00962F08" w:rsidRDefault="00962F08" w:rsidP="00962F08">
      <w:pPr>
        <w:spacing w:after="0" w:line="240" w:lineRule="auto"/>
        <w:jc w:val="both"/>
        <w:rPr>
          <w:rFonts w:ascii="Arial" w:hAnsi="Arial" w:cs="Arial"/>
          <w:sz w:val="24"/>
          <w:szCs w:val="24"/>
          <w:lang w:val="en-AU"/>
        </w:rPr>
      </w:pPr>
    </w:p>
    <w:p w14:paraId="1C169D71" w14:textId="60D9EA53" w:rsidR="00962F08" w:rsidRPr="00DD5B71" w:rsidRDefault="00962F08" w:rsidP="00962F08">
      <w:pPr>
        <w:spacing w:after="0" w:line="240" w:lineRule="auto"/>
        <w:jc w:val="both"/>
        <w:rPr>
          <w:rFonts w:ascii="Arial" w:hAnsi="Arial" w:cs="Arial"/>
          <w:sz w:val="24"/>
          <w:szCs w:val="24"/>
          <w:lang w:val="en-AU"/>
        </w:rPr>
      </w:pPr>
      <w:r w:rsidRPr="00586CC0">
        <w:rPr>
          <w:rFonts w:ascii="Arial" w:hAnsi="Arial" w:cs="Arial"/>
          <w:sz w:val="24"/>
          <w:szCs w:val="24"/>
          <w:lang w:val="en-US"/>
        </w:rPr>
        <w:t xml:space="preserve">The </w:t>
      </w:r>
      <w:r>
        <w:rPr>
          <w:rFonts w:ascii="Arial" w:hAnsi="Arial" w:cs="Arial"/>
          <w:sz w:val="24"/>
          <w:szCs w:val="24"/>
          <w:lang w:val="en-US"/>
        </w:rPr>
        <w:t xml:space="preserve">credentials for the </w:t>
      </w:r>
      <w:proofErr w:type="spellStart"/>
      <w:r w:rsidRPr="00586CC0">
        <w:rPr>
          <w:rFonts w:ascii="Arial" w:hAnsi="Arial" w:cs="Arial"/>
          <w:sz w:val="24"/>
          <w:szCs w:val="24"/>
          <w:lang w:val="en-US"/>
        </w:rPr>
        <w:t>City</w:t>
      </w:r>
      <w:r>
        <w:rPr>
          <w:rFonts w:ascii="Arial" w:hAnsi="Arial" w:cs="Arial"/>
          <w:sz w:val="24"/>
          <w:szCs w:val="24"/>
          <w:lang w:val="en-US"/>
        </w:rPr>
        <w:t>s</w:t>
      </w:r>
      <w:proofErr w:type="spellEnd"/>
      <w:r w:rsidRPr="00586CC0">
        <w:rPr>
          <w:rFonts w:ascii="Arial" w:hAnsi="Arial" w:cs="Arial"/>
          <w:sz w:val="24"/>
          <w:szCs w:val="24"/>
          <w:lang w:val="en-US"/>
        </w:rPr>
        <w:t xml:space="preserve"> </w:t>
      </w:r>
      <w:r>
        <w:rPr>
          <w:rFonts w:ascii="Arial" w:hAnsi="Arial" w:cs="Arial"/>
          <w:sz w:val="24"/>
          <w:szCs w:val="24"/>
          <w:lang w:val="en-US"/>
        </w:rPr>
        <w:t>appointed</w:t>
      </w:r>
      <w:r w:rsidRPr="00586CC0">
        <w:rPr>
          <w:rFonts w:ascii="Arial" w:hAnsi="Arial" w:cs="Arial"/>
          <w:sz w:val="24"/>
          <w:szCs w:val="24"/>
          <w:lang w:val="en-US"/>
        </w:rPr>
        <w:t xml:space="preserve"> lease negotiator</w:t>
      </w:r>
      <w:r>
        <w:rPr>
          <w:rFonts w:ascii="Arial" w:hAnsi="Arial" w:cs="Arial"/>
          <w:sz w:val="24"/>
          <w:szCs w:val="24"/>
          <w:lang w:val="en-US"/>
        </w:rPr>
        <w:t>,</w:t>
      </w:r>
      <w:r w:rsidRPr="00586CC0">
        <w:rPr>
          <w:rFonts w:ascii="Arial" w:hAnsi="Arial" w:cs="Arial"/>
          <w:sz w:val="24"/>
          <w:szCs w:val="24"/>
          <w:lang w:val="en-US"/>
        </w:rPr>
        <w:t xml:space="preserve"> </w:t>
      </w:r>
      <w:r>
        <w:rPr>
          <w:rFonts w:ascii="Arial" w:hAnsi="Arial" w:cs="Arial"/>
          <w:sz w:val="24"/>
          <w:szCs w:val="24"/>
          <w:lang w:val="en-US"/>
        </w:rPr>
        <w:t xml:space="preserve">John Adcock, are provided in </w:t>
      </w:r>
      <w:r w:rsidR="00E73266">
        <w:rPr>
          <w:rFonts w:ascii="Arial" w:hAnsi="Arial" w:cs="Arial"/>
          <w:sz w:val="24"/>
          <w:szCs w:val="24"/>
          <w:lang w:val="en-US"/>
        </w:rPr>
        <w:t xml:space="preserve">Confidential </w:t>
      </w:r>
      <w:r>
        <w:rPr>
          <w:rFonts w:ascii="Arial" w:hAnsi="Arial" w:cs="Arial"/>
          <w:sz w:val="24"/>
          <w:szCs w:val="24"/>
          <w:lang w:val="en-US"/>
        </w:rPr>
        <w:t>Attachment 6</w:t>
      </w:r>
      <w:r w:rsidRPr="00586CC0">
        <w:rPr>
          <w:rFonts w:ascii="Arial" w:hAnsi="Arial" w:cs="Arial"/>
          <w:sz w:val="24"/>
          <w:szCs w:val="24"/>
          <w:lang w:val="en-US"/>
        </w:rPr>
        <w:t>.</w:t>
      </w:r>
    </w:p>
    <w:p w14:paraId="7C009ED6" w14:textId="77777777" w:rsidR="009D4DA9" w:rsidRDefault="009D4DA9">
      <w:pPr>
        <w:rPr>
          <w:rFonts w:ascii="Arial" w:hAnsi="Arial" w:cs="Arial"/>
          <w:sz w:val="24"/>
          <w:szCs w:val="32"/>
          <w:lang w:val="en-US"/>
        </w:rPr>
      </w:pPr>
    </w:p>
    <w:sectPr w:rsidR="009D4DA9"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7ABF" w14:textId="77777777" w:rsidR="00714F85" w:rsidRDefault="00714F85" w:rsidP="00A1654F">
      <w:pPr>
        <w:spacing w:after="0" w:line="240" w:lineRule="auto"/>
      </w:pPr>
      <w:r>
        <w:separator/>
      </w:r>
    </w:p>
  </w:endnote>
  <w:endnote w:type="continuationSeparator" w:id="0">
    <w:p w14:paraId="55BF8B50" w14:textId="77777777" w:rsidR="00714F85" w:rsidRDefault="00714F85" w:rsidP="00A1654F">
      <w:pPr>
        <w:spacing w:after="0" w:line="240" w:lineRule="auto"/>
      </w:pPr>
      <w:r>
        <w:continuationSeparator/>
      </w:r>
    </w:p>
  </w:endnote>
  <w:endnote w:type="continuationNotice" w:id="1">
    <w:p w14:paraId="14A054BB" w14:textId="77777777" w:rsidR="00714F85" w:rsidRDefault="00714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ED6BA4" w:rsidRPr="007B2CD0" w:rsidRDefault="00ED6BA4">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ED6BA4" w:rsidRDefault="00ED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ED6BA4" w:rsidRDefault="00EC444C">
        <w:pPr>
          <w:pStyle w:val="Footer"/>
          <w:jc w:val="right"/>
        </w:pPr>
      </w:p>
    </w:sdtContent>
  </w:sdt>
  <w:p w14:paraId="0A5DB427" w14:textId="77777777" w:rsidR="00ED6BA4" w:rsidRDefault="00ED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A76F" w14:textId="77777777" w:rsidR="00714F85" w:rsidRDefault="00714F85" w:rsidP="00A1654F">
      <w:pPr>
        <w:spacing w:after="0" w:line="240" w:lineRule="auto"/>
      </w:pPr>
      <w:r>
        <w:separator/>
      </w:r>
    </w:p>
  </w:footnote>
  <w:footnote w:type="continuationSeparator" w:id="0">
    <w:p w14:paraId="47A57392" w14:textId="77777777" w:rsidR="00714F85" w:rsidRDefault="00714F85" w:rsidP="00A1654F">
      <w:pPr>
        <w:spacing w:after="0" w:line="240" w:lineRule="auto"/>
      </w:pPr>
      <w:r>
        <w:continuationSeparator/>
      </w:r>
    </w:p>
  </w:footnote>
  <w:footnote w:type="continuationNotice" w:id="1">
    <w:p w14:paraId="5358C4D0" w14:textId="77777777" w:rsidR="00714F85" w:rsidRDefault="00714F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69D3547D" w:rsidR="00ED6BA4" w:rsidRDefault="00ED6BA4"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9</w:t>
    </w:r>
    <w:r w:rsidRPr="007B2CD0">
      <w:rPr>
        <w:rFonts w:ascii="Arial" w:hAnsi="Arial" w:cs="Arial"/>
        <w:sz w:val="24"/>
      </w:rPr>
      <w:t xml:space="preserve"> CPS </w:t>
    </w:r>
    <w:r>
      <w:rPr>
        <w:rFonts w:ascii="Arial" w:hAnsi="Arial" w:cs="Arial"/>
        <w:sz w:val="24"/>
      </w:rPr>
      <w:t>Report – CPS12.19 to CPS13.19 – 27 August</w:t>
    </w:r>
  </w:p>
  <w:p w14:paraId="358A1008" w14:textId="77777777" w:rsidR="00ED6BA4" w:rsidRPr="007B2CD0" w:rsidRDefault="00ED6BA4"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ED6BA4" w:rsidRPr="007B2CD0" w:rsidRDefault="00ED6BA4"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4E"/>
    <w:multiLevelType w:val="hybridMultilevel"/>
    <w:tmpl w:val="494AE8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13D09"/>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83105"/>
    <w:multiLevelType w:val="hybridMultilevel"/>
    <w:tmpl w:val="7E64377C"/>
    <w:lvl w:ilvl="0" w:tplc="41165440">
      <w:start w:val="1"/>
      <w:numFmt w:val="decimal"/>
      <w:lvlText w:val="%1."/>
      <w:lvlJc w:val="left"/>
      <w:pPr>
        <w:ind w:left="927" w:hanging="360"/>
      </w:pPr>
      <w:rPr>
        <w:rFonts w:hint="default"/>
      </w:rPr>
    </w:lvl>
    <w:lvl w:ilvl="1" w:tplc="E8E2D4E4">
      <w:numFmt w:val="bullet"/>
      <w:lvlText w:val="•"/>
      <w:lvlJc w:val="left"/>
      <w:pPr>
        <w:ind w:left="1647" w:hanging="360"/>
      </w:pPr>
      <w:rPr>
        <w:rFonts w:ascii="SymbolMT" w:eastAsiaTheme="minorHAnsi" w:hAnsi="SymbolMT" w:cs="SymbolMT"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6477FA"/>
    <w:multiLevelType w:val="hybridMultilevel"/>
    <w:tmpl w:val="EACC4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C2CC2"/>
    <w:multiLevelType w:val="hybridMultilevel"/>
    <w:tmpl w:val="9B628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6D604F"/>
    <w:multiLevelType w:val="hybridMultilevel"/>
    <w:tmpl w:val="127E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9A4970"/>
    <w:multiLevelType w:val="hybridMultilevel"/>
    <w:tmpl w:val="3624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A44022"/>
    <w:multiLevelType w:val="hybridMultilevel"/>
    <w:tmpl w:val="7E64377C"/>
    <w:lvl w:ilvl="0" w:tplc="41165440">
      <w:start w:val="1"/>
      <w:numFmt w:val="decimal"/>
      <w:lvlText w:val="%1."/>
      <w:lvlJc w:val="left"/>
      <w:pPr>
        <w:ind w:left="927" w:hanging="360"/>
      </w:pPr>
      <w:rPr>
        <w:rFonts w:hint="default"/>
      </w:rPr>
    </w:lvl>
    <w:lvl w:ilvl="1" w:tplc="E8E2D4E4">
      <w:numFmt w:val="bullet"/>
      <w:lvlText w:val="•"/>
      <w:lvlJc w:val="left"/>
      <w:pPr>
        <w:ind w:left="1647" w:hanging="360"/>
      </w:pPr>
      <w:rPr>
        <w:rFonts w:ascii="SymbolMT" w:eastAsiaTheme="minorHAnsi" w:hAnsi="SymbolMT" w:cs="SymbolMT"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26"/>
  </w:num>
  <w:num w:numId="4">
    <w:abstractNumId w:val="25"/>
  </w:num>
  <w:num w:numId="5">
    <w:abstractNumId w:val="2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1"/>
  </w:num>
  <w:num w:numId="10">
    <w:abstractNumId w:val="22"/>
  </w:num>
  <w:num w:numId="11">
    <w:abstractNumId w:val="28"/>
  </w:num>
  <w:num w:numId="12">
    <w:abstractNumId w:val="10"/>
  </w:num>
  <w:num w:numId="13">
    <w:abstractNumId w:val="17"/>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2"/>
  </w:num>
  <w:num w:numId="20">
    <w:abstractNumId w:val="2"/>
  </w:num>
  <w:num w:numId="21">
    <w:abstractNumId w:val="15"/>
  </w:num>
  <w:num w:numId="22">
    <w:abstractNumId w:val="9"/>
  </w:num>
  <w:num w:numId="23">
    <w:abstractNumId w:val="5"/>
  </w:num>
  <w:num w:numId="24">
    <w:abstractNumId w:val="16"/>
  </w:num>
  <w:num w:numId="25">
    <w:abstractNumId w:val="20"/>
  </w:num>
  <w:num w:numId="26">
    <w:abstractNumId w:val="0"/>
  </w:num>
  <w:num w:numId="27">
    <w:abstractNumId w:val="18"/>
  </w:num>
  <w:num w:numId="28">
    <w:abstractNumId w:val="21"/>
  </w:num>
  <w:num w:numId="29">
    <w:abstractNumId w:val="8"/>
  </w:num>
  <w:num w:numId="30">
    <w:abstractNumId w:val="6"/>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r0vlJ/3Uihh5Aac5UC8oqhXDR7ahPlOxl2KO7uWFOkynJcuEmjQWkybFxIzP51kRsWLpTDlpEIYW/fF3qOPXIA==" w:salt="L9xcL/TeNGbS4TuXA7OWt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771C1"/>
    <w:rsid w:val="00080076"/>
    <w:rsid w:val="000901F9"/>
    <w:rsid w:val="00090F31"/>
    <w:rsid w:val="00091187"/>
    <w:rsid w:val="000951ED"/>
    <w:rsid w:val="000A3E5E"/>
    <w:rsid w:val="000B11E4"/>
    <w:rsid w:val="000B4C0E"/>
    <w:rsid w:val="000B6C86"/>
    <w:rsid w:val="000D1BD2"/>
    <w:rsid w:val="000F3EE7"/>
    <w:rsid w:val="000F4ECA"/>
    <w:rsid w:val="000F774A"/>
    <w:rsid w:val="0010020C"/>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93BCD"/>
    <w:rsid w:val="00194F72"/>
    <w:rsid w:val="00196BFB"/>
    <w:rsid w:val="001A16E4"/>
    <w:rsid w:val="001B3098"/>
    <w:rsid w:val="001B6BEF"/>
    <w:rsid w:val="001C0F2D"/>
    <w:rsid w:val="001C72AF"/>
    <w:rsid w:val="001D10A3"/>
    <w:rsid w:val="001D12FF"/>
    <w:rsid w:val="001E51E0"/>
    <w:rsid w:val="001F10AF"/>
    <w:rsid w:val="00212F89"/>
    <w:rsid w:val="00227628"/>
    <w:rsid w:val="00236155"/>
    <w:rsid w:val="002402D1"/>
    <w:rsid w:val="002548CC"/>
    <w:rsid w:val="00282114"/>
    <w:rsid w:val="0028243A"/>
    <w:rsid w:val="002A03D2"/>
    <w:rsid w:val="002A29E0"/>
    <w:rsid w:val="002A52F1"/>
    <w:rsid w:val="002A7660"/>
    <w:rsid w:val="002B0F75"/>
    <w:rsid w:val="002B5759"/>
    <w:rsid w:val="002C0702"/>
    <w:rsid w:val="002C50EB"/>
    <w:rsid w:val="002D1EF8"/>
    <w:rsid w:val="002D25FB"/>
    <w:rsid w:val="002D3EE0"/>
    <w:rsid w:val="002D42F4"/>
    <w:rsid w:val="002D5EED"/>
    <w:rsid w:val="002E3EED"/>
    <w:rsid w:val="002E55F5"/>
    <w:rsid w:val="002E71E3"/>
    <w:rsid w:val="002F0631"/>
    <w:rsid w:val="002F2A01"/>
    <w:rsid w:val="003042E4"/>
    <w:rsid w:val="00315126"/>
    <w:rsid w:val="00337F6C"/>
    <w:rsid w:val="0034160C"/>
    <w:rsid w:val="00343A26"/>
    <w:rsid w:val="003444A4"/>
    <w:rsid w:val="00350DA1"/>
    <w:rsid w:val="00362A92"/>
    <w:rsid w:val="0037391A"/>
    <w:rsid w:val="00392C38"/>
    <w:rsid w:val="00392D51"/>
    <w:rsid w:val="003949D6"/>
    <w:rsid w:val="003A0205"/>
    <w:rsid w:val="003C1E2B"/>
    <w:rsid w:val="003D527E"/>
    <w:rsid w:val="003E4AEF"/>
    <w:rsid w:val="003F0C1C"/>
    <w:rsid w:val="003F3CC6"/>
    <w:rsid w:val="00410393"/>
    <w:rsid w:val="004109D5"/>
    <w:rsid w:val="004121F5"/>
    <w:rsid w:val="00420B3F"/>
    <w:rsid w:val="00422EEE"/>
    <w:rsid w:val="00424848"/>
    <w:rsid w:val="0043524D"/>
    <w:rsid w:val="004410D5"/>
    <w:rsid w:val="00443460"/>
    <w:rsid w:val="00451918"/>
    <w:rsid w:val="00471575"/>
    <w:rsid w:val="0049190D"/>
    <w:rsid w:val="00491DFC"/>
    <w:rsid w:val="004923B5"/>
    <w:rsid w:val="00497621"/>
    <w:rsid w:val="004A539B"/>
    <w:rsid w:val="004B055E"/>
    <w:rsid w:val="004B631C"/>
    <w:rsid w:val="004B7712"/>
    <w:rsid w:val="004C1D50"/>
    <w:rsid w:val="004C5752"/>
    <w:rsid w:val="004D159E"/>
    <w:rsid w:val="004D37CA"/>
    <w:rsid w:val="004D5401"/>
    <w:rsid w:val="004E1187"/>
    <w:rsid w:val="0050188B"/>
    <w:rsid w:val="00505163"/>
    <w:rsid w:val="00515A9E"/>
    <w:rsid w:val="00515AC6"/>
    <w:rsid w:val="005249B2"/>
    <w:rsid w:val="00530BD7"/>
    <w:rsid w:val="00545DE2"/>
    <w:rsid w:val="00551657"/>
    <w:rsid w:val="00552C8B"/>
    <w:rsid w:val="00572A34"/>
    <w:rsid w:val="00575433"/>
    <w:rsid w:val="00577D47"/>
    <w:rsid w:val="005819D9"/>
    <w:rsid w:val="00583EA4"/>
    <w:rsid w:val="005857F0"/>
    <w:rsid w:val="005922FC"/>
    <w:rsid w:val="00597C89"/>
    <w:rsid w:val="005B67D1"/>
    <w:rsid w:val="005C06A6"/>
    <w:rsid w:val="005D2BF8"/>
    <w:rsid w:val="005E0AAC"/>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9713B"/>
    <w:rsid w:val="006A373A"/>
    <w:rsid w:val="006A4A37"/>
    <w:rsid w:val="006B30CB"/>
    <w:rsid w:val="006C15BC"/>
    <w:rsid w:val="006E6B3C"/>
    <w:rsid w:val="006F176B"/>
    <w:rsid w:val="007012A3"/>
    <w:rsid w:val="00714F85"/>
    <w:rsid w:val="007152CC"/>
    <w:rsid w:val="00720733"/>
    <w:rsid w:val="007217AE"/>
    <w:rsid w:val="00721FE8"/>
    <w:rsid w:val="00727A5F"/>
    <w:rsid w:val="00745F7D"/>
    <w:rsid w:val="007462DA"/>
    <w:rsid w:val="007467D0"/>
    <w:rsid w:val="0074705E"/>
    <w:rsid w:val="00753358"/>
    <w:rsid w:val="0075471E"/>
    <w:rsid w:val="00754A01"/>
    <w:rsid w:val="00760725"/>
    <w:rsid w:val="00767D5D"/>
    <w:rsid w:val="0077007A"/>
    <w:rsid w:val="0077527B"/>
    <w:rsid w:val="00785C90"/>
    <w:rsid w:val="00787D8F"/>
    <w:rsid w:val="00793151"/>
    <w:rsid w:val="007A3782"/>
    <w:rsid w:val="007A75DE"/>
    <w:rsid w:val="007B2CD0"/>
    <w:rsid w:val="007C0504"/>
    <w:rsid w:val="007D4CBD"/>
    <w:rsid w:val="007E24C7"/>
    <w:rsid w:val="007E5EC7"/>
    <w:rsid w:val="007F0093"/>
    <w:rsid w:val="007F45B4"/>
    <w:rsid w:val="007F5C56"/>
    <w:rsid w:val="00803B69"/>
    <w:rsid w:val="00812D02"/>
    <w:rsid w:val="00817F21"/>
    <w:rsid w:val="00833A7B"/>
    <w:rsid w:val="00836ABE"/>
    <w:rsid w:val="0083713F"/>
    <w:rsid w:val="008372FD"/>
    <w:rsid w:val="00843948"/>
    <w:rsid w:val="00844134"/>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8F59D1"/>
    <w:rsid w:val="00902BD8"/>
    <w:rsid w:val="009030DE"/>
    <w:rsid w:val="0091517C"/>
    <w:rsid w:val="00916396"/>
    <w:rsid w:val="009177E4"/>
    <w:rsid w:val="00917CD0"/>
    <w:rsid w:val="00925865"/>
    <w:rsid w:val="00940A80"/>
    <w:rsid w:val="00940B70"/>
    <w:rsid w:val="0094115A"/>
    <w:rsid w:val="00946105"/>
    <w:rsid w:val="00954E85"/>
    <w:rsid w:val="00960F7C"/>
    <w:rsid w:val="00962F08"/>
    <w:rsid w:val="00990019"/>
    <w:rsid w:val="009C2A3F"/>
    <w:rsid w:val="009C7393"/>
    <w:rsid w:val="009D4DA9"/>
    <w:rsid w:val="009E0BA3"/>
    <w:rsid w:val="009E695C"/>
    <w:rsid w:val="00A009C5"/>
    <w:rsid w:val="00A01C5C"/>
    <w:rsid w:val="00A0796D"/>
    <w:rsid w:val="00A1654F"/>
    <w:rsid w:val="00A27288"/>
    <w:rsid w:val="00A32E76"/>
    <w:rsid w:val="00A445A7"/>
    <w:rsid w:val="00A461FA"/>
    <w:rsid w:val="00A515EA"/>
    <w:rsid w:val="00A51AE4"/>
    <w:rsid w:val="00A65AA8"/>
    <w:rsid w:val="00A70250"/>
    <w:rsid w:val="00A7235A"/>
    <w:rsid w:val="00A73E89"/>
    <w:rsid w:val="00AA5E37"/>
    <w:rsid w:val="00AA7A8D"/>
    <w:rsid w:val="00AA7D56"/>
    <w:rsid w:val="00AB28C6"/>
    <w:rsid w:val="00AB3933"/>
    <w:rsid w:val="00AB447F"/>
    <w:rsid w:val="00AC5557"/>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5222"/>
    <w:rsid w:val="00B46A49"/>
    <w:rsid w:val="00B56407"/>
    <w:rsid w:val="00B57C1C"/>
    <w:rsid w:val="00B6198B"/>
    <w:rsid w:val="00B62563"/>
    <w:rsid w:val="00B74B99"/>
    <w:rsid w:val="00B863B8"/>
    <w:rsid w:val="00B95A11"/>
    <w:rsid w:val="00BA23D4"/>
    <w:rsid w:val="00BC2D63"/>
    <w:rsid w:val="00BD02BC"/>
    <w:rsid w:val="00BD0E76"/>
    <w:rsid w:val="00BE4017"/>
    <w:rsid w:val="00BF0F6C"/>
    <w:rsid w:val="00C07598"/>
    <w:rsid w:val="00C079FC"/>
    <w:rsid w:val="00C1076C"/>
    <w:rsid w:val="00C15984"/>
    <w:rsid w:val="00C20FCF"/>
    <w:rsid w:val="00C26D54"/>
    <w:rsid w:val="00C33DD7"/>
    <w:rsid w:val="00C3418D"/>
    <w:rsid w:val="00C36195"/>
    <w:rsid w:val="00C362F3"/>
    <w:rsid w:val="00C423F6"/>
    <w:rsid w:val="00C42E78"/>
    <w:rsid w:val="00C526E7"/>
    <w:rsid w:val="00C541B7"/>
    <w:rsid w:val="00C62F76"/>
    <w:rsid w:val="00C72182"/>
    <w:rsid w:val="00C727F4"/>
    <w:rsid w:val="00C84A14"/>
    <w:rsid w:val="00C9021A"/>
    <w:rsid w:val="00CA13B2"/>
    <w:rsid w:val="00CC66D4"/>
    <w:rsid w:val="00CD2139"/>
    <w:rsid w:val="00CD2F54"/>
    <w:rsid w:val="00CD74F6"/>
    <w:rsid w:val="00CD79C8"/>
    <w:rsid w:val="00CF7D09"/>
    <w:rsid w:val="00D06EEB"/>
    <w:rsid w:val="00D13FCC"/>
    <w:rsid w:val="00D21703"/>
    <w:rsid w:val="00D24D35"/>
    <w:rsid w:val="00D3092C"/>
    <w:rsid w:val="00D53E06"/>
    <w:rsid w:val="00D608AF"/>
    <w:rsid w:val="00D60D21"/>
    <w:rsid w:val="00D63214"/>
    <w:rsid w:val="00D639FC"/>
    <w:rsid w:val="00D75F4E"/>
    <w:rsid w:val="00D7778B"/>
    <w:rsid w:val="00D852D4"/>
    <w:rsid w:val="00D8598E"/>
    <w:rsid w:val="00D87A19"/>
    <w:rsid w:val="00D9356B"/>
    <w:rsid w:val="00DA28D8"/>
    <w:rsid w:val="00DA481B"/>
    <w:rsid w:val="00DA7E3A"/>
    <w:rsid w:val="00DB2AA8"/>
    <w:rsid w:val="00DC2729"/>
    <w:rsid w:val="00DC2DE4"/>
    <w:rsid w:val="00DC44F0"/>
    <w:rsid w:val="00DC7A11"/>
    <w:rsid w:val="00DD112A"/>
    <w:rsid w:val="00DD2C0C"/>
    <w:rsid w:val="00DD5B71"/>
    <w:rsid w:val="00DD7EC9"/>
    <w:rsid w:val="00DE1539"/>
    <w:rsid w:val="00DF7A44"/>
    <w:rsid w:val="00E022B2"/>
    <w:rsid w:val="00E0376F"/>
    <w:rsid w:val="00E05CDD"/>
    <w:rsid w:val="00E232B8"/>
    <w:rsid w:val="00E26456"/>
    <w:rsid w:val="00E303E8"/>
    <w:rsid w:val="00E4602A"/>
    <w:rsid w:val="00E50AC5"/>
    <w:rsid w:val="00E5300C"/>
    <w:rsid w:val="00E57D18"/>
    <w:rsid w:val="00E62015"/>
    <w:rsid w:val="00E64260"/>
    <w:rsid w:val="00E66A8A"/>
    <w:rsid w:val="00E73266"/>
    <w:rsid w:val="00EA4A90"/>
    <w:rsid w:val="00EB44D2"/>
    <w:rsid w:val="00EB4B4D"/>
    <w:rsid w:val="00EC2B14"/>
    <w:rsid w:val="00EC444C"/>
    <w:rsid w:val="00ED3D1A"/>
    <w:rsid w:val="00ED6BA4"/>
    <w:rsid w:val="00EE0F63"/>
    <w:rsid w:val="00EE55F5"/>
    <w:rsid w:val="00EE663B"/>
    <w:rsid w:val="00EF4377"/>
    <w:rsid w:val="00EF48A3"/>
    <w:rsid w:val="00EF5801"/>
    <w:rsid w:val="00F00D56"/>
    <w:rsid w:val="00F05254"/>
    <w:rsid w:val="00F116AD"/>
    <w:rsid w:val="00F33512"/>
    <w:rsid w:val="00F33BF3"/>
    <w:rsid w:val="00F360C0"/>
    <w:rsid w:val="00F41B06"/>
    <w:rsid w:val="00F543F5"/>
    <w:rsid w:val="00F654A5"/>
    <w:rsid w:val="00F66B23"/>
    <w:rsid w:val="00F75CFC"/>
    <w:rsid w:val="00F7770B"/>
    <w:rsid w:val="00F842ED"/>
    <w:rsid w:val="00F92966"/>
    <w:rsid w:val="00F95533"/>
    <w:rsid w:val="00F956B1"/>
    <w:rsid w:val="00FA0781"/>
    <w:rsid w:val="00FA1758"/>
    <w:rsid w:val="00FC5F01"/>
    <w:rsid w:val="00FD2AB8"/>
    <w:rsid w:val="00FD4196"/>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D801AF0D-9D3D-4E0B-8855-3F2B74F1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3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 w:type="paragraph" w:styleId="NormalWeb">
    <w:name w:val="Normal (Web)"/>
    <w:basedOn w:val="Normal"/>
    <w:uiPriority w:val="99"/>
    <w:semiHidden/>
    <w:unhideWhenUsed/>
    <w:rsid w:val="00962F08"/>
    <w:pPr>
      <w:spacing w:after="0" w:line="240" w:lineRule="auto"/>
    </w:pPr>
    <w:rPr>
      <w:rFonts w:ascii="Times New Roman" w:eastAsia="Times New Roman" w:hAnsi="Times New Roman" w:cs="Times New Roman"/>
      <w:sz w:val="24"/>
      <w:szCs w:val="24"/>
      <w:lang w:val="en-AU" w:eastAsia="en-AU"/>
    </w:rPr>
  </w:style>
  <w:style w:type="paragraph" w:customStyle="1" w:styleId="Subsection">
    <w:name w:val="Subsection"/>
    <w:rsid w:val="00962F0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ORGN-317801165-5322</_dlc_DocId>
    <_dlc_DocIdUrl xmlns="02b462e0-950b-4d18-8f56-efe6ec8fd98e">
      <Url>https://nedlands365.sharepoint.com/sites/organisation/council/_layouts/15/DocIdRedir.aspx?ID=ORGN-317801165-5322</Url>
      <Description>ORGN-317801165-5322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71CC0-ADE7-4BA9-B1C1-A8850115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 ds:uri="7dce4f99-cff1-4fd8-801c-290f26aab7b1"/>
  </ds:schemaRefs>
</ds:datastoreItem>
</file>

<file path=customXml/itemProps4.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5.xml><?xml version="1.0" encoding="utf-8"?>
<ds:datastoreItem xmlns:ds="http://schemas.openxmlformats.org/officeDocument/2006/customXml" ds:itemID="{AEB9354E-B986-43D0-8F4B-BB9CD85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31918CBF</Template>
  <TotalTime>73</TotalTime>
  <Pages>15</Pages>
  <Words>4433</Words>
  <Characters>25270</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Angela Brett</cp:lastModifiedBy>
  <cp:revision>74</cp:revision>
  <cp:lastPrinted>2019-08-07T07:11:00Z</cp:lastPrinted>
  <dcterms:created xsi:type="dcterms:W3CDTF">2018-11-28T07:44:00Z</dcterms:created>
  <dcterms:modified xsi:type="dcterms:W3CDTF">2019-08-13T08:50:00Z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6ae7b8bf-bc06-48fe-aa30-beed3e8d1527</vt:lpwstr>
  </property>
  <property fmtid="{D5CDD505-2E9C-101B-9397-08002B2CF9AE}" pid="4" name="Function">
    <vt:lpwstr>153;#Council|e9dab8bc-19a9-476e-9804-8565541956eb</vt:lpwstr>
  </property>
  <property fmtid="{D5CDD505-2E9C-101B-9397-08002B2CF9AE}" pid="5" name="Entity">
    <vt:lpwstr>4;#City of Nedlands|e1cb6260-fbdb-4707-a83e-0c933e524b72</vt:lpwstr>
  </property>
  <property fmtid="{D5CDD505-2E9C-101B-9397-08002B2CF9AE}" pid="6" name="eDMS Site">
    <vt:lpwstr>154;#Council|aa216eff-3449-4bd9-a57e-8ddebac59c1d</vt:lpwstr>
  </property>
  <property fmtid="{D5CDD505-2E9C-101B-9397-08002B2CF9AE}" pid="7" name="Activity">
    <vt:lpwstr>139;#Meetings|1b90c5f6-ddf7-405d-b0aa-a573170e1a5d</vt:lpwstr>
  </property>
  <property fmtid="{D5CDD505-2E9C-101B-9397-08002B2CF9AE}" pid="8" name="Subject Matter">
    <vt:lpwstr>140;#Meeting|1f576ca3-e898-4889-9bff-971fa1197b35</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