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19" w:rsidRDefault="001170E1"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eastAsia="en-AU"/>
        </w:rPr>
        <w:drawing>
          <wp:inline distT="0" distB="0" distL="0" distR="0" wp14:anchorId="3718A305" wp14:editId="0AA5681C">
            <wp:extent cx="5152390" cy="190817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2390" cy="1908175"/>
                    </a:xfrm>
                    <a:prstGeom prst="rect">
                      <a:avLst/>
                    </a:prstGeom>
                    <a:noFill/>
                    <a:ln>
                      <a:noFill/>
                    </a:ln>
                  </pic:spPr>
                </pic:pic>
              </a:graphicData>
            </a:graphic>
          </wp:inline>
        </w:drawing>
      </w:r>
    </w:p>
    <w:p w:rsidR="00180419" w:rsidRDefault="00180419" w:rsidP="00562866">
      <w:pPr>
        <w:rPr>
          <w:rFonts w:ascii="Gill Sans MT" w:hAnsi="Gill Sans MT" w:cs="Arial"/>
          <w:b/>
          <w:i/>
          <w:iCs/>
          <w:color w:val="003876"/>
          <w:sz w:val="96"/>
          <w:szCs w:val="160"/>
          <w:lang w:val="en-GB" w:eastAsia="en-GB"/>
        </w:rPr>
      </w:pPr>
    </w:p>
    <w:p w:rsidR="00180419" w:rsidRPr="00180419" w:rsidRDefault="00180419" w:rsidP="00562866">
      <w:pPr>
        <w:rPr>
          <w:rFonts w:ascii="Gill Sans MT" w:hAnsi="Gill Sans MT" w:cs="Arial"/>
          <w:b/>
          <w:i/>
          <w:iCs/>
          <w:color w:val="003876"/>
          <w:sz w:val="96"/>
          <w:szCs w:val="160"/>
          <w:lang w:val="en-GB" w:eastAsia="en-GB"/>
        </w:rPr>
      </w:pPr>
    </w:p>
    <w:p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3D10A2"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Special </w:t>
      </w:r>
      <w:r w:rsidR="00180419" w:rsidRPr="00180419">
        <w:rPr>
          <w:rFonts w:ascii="Gill Sans MT" w:hAnsi="Gill Sans MT" w:cs="Arial"/>
          <w:b/>
          <w:i/>
          <w:iCs/>
          <w:color w:val="003876"/>
          <w:sz w:val="56"/>
          <w:szCs w:val="160"/>
          <w:lang w:val="en-GB" w:eastAsia="en-GB"/>
        </w:rPr>
        <w:t>Council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B61958"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9 December 2014</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3E516E" w:rsidRDefault="00B61958" w:rsidP="00A53C37">
      <w:pPr>
        <w:tabs>
          <w:tab w:val="left" w:pos="720"/>
          <w:tab w:val="left" w:pos="1440"/>
          <w:tab w:val="left" w:pos="2410"/>
          <w:tab w:val="left" w:pos="2977"/>
          <w:tab w:val="right" w:pos="8335"/>
          <w:tab w:val="right" w:pos="8505"/>
        </w:tabs>
        <w:jc w:val="both"/>
        <w:rPr>
          <w:rFonts w:ascii="Arial" w:hAnsi="Arial" w:cs="Arial"/>
        </w:rPr>
      </w:pPr>
      <w:r>
        <w:rPr>
          <w:rFonts w:ascii="Arial" w:hAnsi="Arial" w:cs="Arial"/>
          <w:noProof/>
          <w:lang w:eastAsia="en-AU"/>
        </w:rPr>
        <w:drawing>
          <wp:anchor distT="0" distB="0" distL="114300" distR="114300" simplePos="0" relativeHeight="251658240" behindDoc="1" locked="0" layoutInCell="1" allowOverlap="1" wp14:anchorId="4732D5E6" wp14:editId="17C39BDB">
            <wp:simplePos x="0" y="0"/>
            <wp:positionH relativeFrom="column">
              <wp:posOffset>-349581</wp:posOffset>
            </wp:positionH>
            <wp:positionV relativeFrom="paragraph">
              <wp:posOffset>465897</wp:posOffset>
            </wp:positionV>
            <wp:extent cx="2936240" cy="13817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6240" cy="1381760"/>
                    </a:xfrm>
                    <a:prstGeom prst="rect">
                      <a:avLst/>
                    </a:prstGeom>
                    <a:noFill/>
                  </pic:spPr>
                </pic:pic>
              </a:graphicData>
            </a:graphic>
            <wp14:sizeRelH relativeFrom="page">
              <wp14:pctWidth>0</wp14:pctWidth>
            </wp14:sizeRelH>
            <wp14:sizeRelV relativeFrom="page">
              <wp14:pctHeight>0</wp14:pctHeight>
            </wp14:sizeRelV>
          </wp:anchor>
        </w:drawing>
      </w:r>
      <w:r w:rsidR="003D10A2"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Pr>
          <w:rFonts w:ascii="Arial" w:hAnsi="Arial"/>
        </w:rPr>
        <w:t>Tuesday 9 December 2014</w:t>
      </w:r>
      <w:r w:rsidR="003E516E">
        <w:rPr>
          <w:rFonts w:ascii="Arial" w:hAnsi="Arial"/>
        </w:rPr>
        <w:t xml:space="preserve"> </w:t>
      </w:r>
      <w:r w:rsidR="003E516E">
        <w:rPr>
          <w:rFonts w:ascii="Arial" w:hAnsi="Arial" w:cs="Arial"/>
        </w:rPr>
        <w:t xml:space="preserve">in the Council </w:t>
      </w:r>
      <w:r w:rsidR="000575F3">
        <w:rPr>
          <w:rFonts w:ascii="Arial" w:hAnsi="Arial" w:cs="Arial"/>
        </w:rPr>
        <w:t>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 xml:space="preserve">Nedlands commencing at </w:t>
      </w:r>
      <w:r w:rsidR="00C356FC">
        <w:rPr>
          <w:rFonts w:ascii="Arial" w:hAnsi="Arial" w:cs="Arial"/>
        </w:rPr>
        <w:t>6.00 pm</w:t>
      </w:r>
      <w:r w:rsidR="003E516E">
        <w:rPr>
          <w:rFonts w:ascii="Arial" w:hAnsi="Arial" w:cs="Arial"/>
        </w:rPr>
        <w:t xml:space="preserve"> </w:t>
      </w:r>
      <w:r w:rsidR="003D10A2">
        <w:rPr>
          <w:rFonts w:ascii="Arial" w:hAnsi="Arial" w:cs="Arial"/>
        </w:rPr>
        <w:t xml:space="preserve">for the </w:t>
      </w:r>
      <w:r w:rsidR="005E18E4" w:rsidRPr="005E18E4">
        <w:rPr>
          <w:rFonts w:ascii="Arial" w:hAnsi="Arial" w:cs="Arial"/>
        </w:rPr>
        <w:t xml:space="preserve">purpose of </w:t>
      </w:r>
      <w:r>
        <w:rPr>
          <w:rFonts w:ascii="Arial" w:hAnsi="Arial" w:cs="Arial"/>
        </w:rPr>
        <w:t>receiving the Annual Report 2013-2014</w:t>
      </w:r>
      <w:r w:rsidR="005E18E4" w:rsidRPr="005E18E4">
        <w:rPr>
          <w:rFonts w:ascii="Arial" w:hAnsi="Arial" w:cs="Arial"/>
        </w:rPr>
        <w:t>.</w:t>
      </w:r>
    </w:p>
    <w:p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0" w:name="OLE_LINK12"/>
    </w:p>
    <w:bookmarkEnd w:id="0"/>
    <w:p w:rsidR="00B61958" w:rsidRDefault="00B61958" w:rsidP="00562866">
      <w:pPr>
        <w:tabs>
          <w:tab w:val="left" w:pos="720"/>
          <w:tab w:val="left" w:pos="1440"/>
          <w:tab w:val="left" w:pos="2410"/>
          <w:tab w:val="left" w:pos="2977"/>
          <w:tab w:val="right" w:pos="8335"/>
          <w:tab w:val="right" w:pos="8505"/>
        </w:tabs>
        <w:jc w:val="both"/>
        <w:rPr>
          <w:rFonts w:ascii="Arial" w:hAnsi="Arial" w:cs="Arial"/>
        </w:rPr>
      </w:pPr>
    </w:p>
    <w:p w:rsidR="00180419" w:rsidRPr="004950A5" w:rsidRDefault="00BB7A76"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Greg Trevaskis</w:t>
      </w:r>
    </w:p>
    <w:p w:rsidR="00A53C37"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rsidR="00180419" w:rsidRPr="004950A5" w:rsidRDefault="00B61958"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 December 2014</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t>Table o</w:t>
      </w:r>
      <w:r w:rsidRPr="004950A5">
        <w:rPr>
          <w:rFonts w:ascii="Arial" w:hAnsi="Arial" w:cs="Arial"/>
          <w:b/>
        </w:rPr>
        <w:t>f Contents</w:t>
      </w:r>
    </w:p>
    <w:p w:rsidR="00463F73" w:rsidRDefault="00463F73" w:rsidP="00463F73">
      <w:pPr>
        <w:tabs>
          <w:tab w:val="left" w:pos="720"/>
          <w:tab w:val="left" w:pos="1440"/>
          <w:tab w:val="left" w:pos="2410"/>
          <w:tab w:val="left" w:pos="2977"/>
          <w:tab w:val="right" w:pos="8335"/>
          <w:tab w:val="right" w:pos="8505"/>
        </w:tabs>
        <w:rPr>
          <w:rFonts w:ascii="Arial" w:hAnsi="Arial" w:cs="Arial"/>
        </w:rPr>
      </w:pPr>
    </w:p>
    <w:p w:rsidR="006866B4" w:rsidRDefault="00BF6F64">
      <w:pPr>
        <w:pStyle w:val="TOC1"/>
        <w:tabs>
          <w:tab w:val="right" w:leader="dot" w:pos="8303"/>
        </w:tabs>
        <w:rPr>
          <w:rFonts w:asciiTheme="minorHAnsi" w:eastAsiaTheme="minorEastAsia" w:hAnsiTheme="minorHAnsi" w:cstheme="minorBidi"/>
          <w:noProof/>
          <w:sz w:val="22"/>
          <w:szCs w:val="22"/>
          <w:lang w:eastAsia="en-AU"/>
        </w:rPr>
      </w:pPr>
      <w:r w:rsidRPr="00031B19">
        <w:rPr>
          <w:rFonts w:ascii="Arial" w:hAnsi="Arial" w:cs="Arial"/>
          <w:b/>
          <w:szCs w:val="24"/>
          <w:u w:val="single"/>
        </w:rPr>
        <w:fldChar w:fldCharType="begin"/>
      </w:r>
      <w:r w:rsidR="00463F73" w:rsidRPr="00031B19">
        <w:rPr>
          <w:rFonts w:ascii="Arial" w:hAnsi="Arial" w:cs="Arial"/>
          <w:b/>
          <w:szCs w:val="24"/>
          <w:u w:val="single"/>
        </w:rPr>
        <w:instrText xml:space="preserve"> TOC \o "1-3" \h \z \u </w:instrText>
      </w:r>
      <w:r w:rsidRPr="00031B19">
        <w:rPr>
          <w:rFonts w:ascii="Arial" w:hAnsi="Arial" w:cs="Arial"/>
          <w:b/>
          <w:szCs w:val="24"/>
          <w:u w:val="single"/>
        </w:rPr>
        <w:fldChar w:fldCharType="separate"/>
      </w:r>
      <w:hyperlink w:anchor="_Toc405298586" w:history="1">
        <w:r w:rsidR="006866B4" w:rsidRPr="00CD6993">
          <w:rPr>
            <w:rStyle w:val="Hyperlink"/>
            <w:rFonts w:ascii="Arial" w:hAnsi="Arial" w:cs="Arial"/>
            <w:noProof/>
          </w:rPr>
          <w:t>Declaration of Opening</w:t>
        </w:r>
        <w:r w:rsidR="006866B4">
          <w:rPr>
            <w:noProof/>
            <w:webHidden/>
          </w:rPr>
          <w:tab/>
        </w:r>
        <w:r w:rsidR="006866B4">
          <w:rPr>
            <w:noProof/>
            <w:webHidden/>
          </w:rPr>
          <w:fldChar w:fldCharType="begin"/>
        </w:r>
        <w:r w:rsidR="006866B4">
          <w:rPr>
            <w:noProof/>
            <w:webHidden/>
          </w:rPr>
          <w:instrText xml:space="preserve"> PAGEREF _Toc405298586 \h </w:instrText>
        </w:r>
        <w:r w:rsidR="006866B4">
          <w:rPr>
            <w:noProof/>
            <w:webHidden/>
          </w:rPr>
        </w:r>
        <w:r w:rsidR="006866B4">
          <w:rPr>
            <w:noProof/>
            <w:webHidden/>
          </w:rPr>
          <w:fldChar w:fldCharType="separate"/>
        </w:r>
        <w:r w:rsidR="006866B4">
          <w:rPr>
            <w:noProof/>
            <w:webHidden/>
          </w:rPr>
          <w:t>3</w:t>
        </w:r>
        <w:r w:rsidR="006866B4">
          <w:rPr>
            <w:noProof/>
            <w:webHidden/>
          </w:rPr>
          <w:fldChar w:fldCharType="end"/>
        </w:r>
      </w:hyperlink>
    </w:p>
    <w:p w:rsidR="006866B4" w:rsidRDefault="004B03F0">
      <w:pPr>
        <w:pStyle w:val="TOC1"/>
        <w:tabs>
          <w:tab w:val="right" w:leader="dot" w:pos="8303"/>
        </w:tabs>
        <w:rPr>
          <w:rFonts w:asciiTheme="minorHAnsi" w:eastAsiaTheme="minorEastAsia" w:hAnsiTheme="minorHAnsi" w:cstheme="minorBidi"/>
          <w:noProof/>
          <w:sz w:val="22"/>
          <w:szCs w:val="22"/>
          <w:lang w:eastAsia="en-AU"/>
        </w:rPr>
      </w:pPr>
      <w:hyperlink w:anchor="_Toc405298587" w:history="1">
        <w:r w:rsidR="006866B4" w:rsidRPr="00CD6993">
          <w:rPr>
            <w:rStyle w:val="Hyperlink"/>
            <w:rFonts w:ascii="Arial" w:hAnsi="Arial" w:cs="Arial"/>
            <w:noProof/>
          </w:rPr>
          <w:t>Present and Apologies and Leave Of Absence (Previously Approved)</w:t>
        </w:r>
        <w:r w:rsidR="006866B4">
          <w:rPr>
            <w:noProof/>
            <w:webHidden/>
          </w:rPr>
          <w:tab/>
        </w:r>
        <w:r w:rsidR="006866B4">
          <w:rPr>
            <w:noProof/>
            <w:webHidden/>
          </w:rPr>
          <w:fldChar w:fldCharType="begin"/>
        </w:r>
        <w:r w:rsidR="006866B4">
          <w:rPr>
            <w:noProof/>
            <w:webHidden/>
          </w:rPr>
          <w:instrText xml:space="preserve"> PAGEREF _Toc405298587 \h </w:instrText>
        </w:r>
        <w:r w:rsidR="006866B4">
          <w:rPr>
            <w:noProof/>
            <w:webHidden/>
          </w:rPr>
        </w:r>
        <w:r w:rsidR="006866B4">
          <w:rPr>
            <w:noProof/>
            <w:webHidden/>
          </w:rPr>
          <w:fldChar w:fldCharType="separate"/>
        </w:r>
        <w:r w:rsidR="006866B4">
          <w:rPr>
            <w:noProof/>
            <w:webHidden/>
          </w:rPr>
          <w:t>3</w:t>
        </w:r>
        <w:r w:rsidR="006866B4">
          <w:rPr>
            <w:noProof/>
            <w:webHidden/>
          </w:rPr>
          <w:fldChar w:fldCharType="end"/>
        </w:r>
      </w:hyperlink>
    </w:p>
    <w:p w:rsidR="006866B4" w:rsidRDefault="004B03F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5298588" w:history="1">
        <w:r w:rsidR="006866B4" w:rsidRPr="00CD6993">
          <w:rPr>
            <w:rStyle w:val="Hyperlink"/>
            <w:rFonts w:ascii="Arial" w:hAnsi="Arial" w:cs="Arial"/>
            <w:noProof/>
          </w:rPr>
          <w:t>1.</w:t>
        </w:r>
        <w:r w:rsidR="006866B4">
          <w:rPr>
            <w:rFonts w:asciiTheme="minorHAnsi" w:eastAsiaTheme="minorEastAsia" w:hAnsiTheme="minorHAnsi" w:cstheme="minorBidi"/>
            <w:noProof/>
            <w:sz w:val="22"/>
            <w:szCs w:val="22"/>
            <w:lang w:eastAsia="en-AU"/>
          </w:rPr>
          <w:tab/>
        </w:r>
        <w:r w:rsidR="006866B4" w:rsidRPr="00CD6993">
          <w:rPr>
            <w:rStyle w:val="Hyperlink"/>
            <w:rFonts w:ascii="Arial" w:hAnsi="Arial" w:cs="Arial"/>
            <w:noProof/>
          </w:rPr>
          <w:t>Public Question Time</w:t>
        </w:r>
        <w:r w:rsidR="006866B4">
          <w:rPr>
            <w:noProof/>
            <w:webHidden/>
          </w:rPr>
          <w:tab/>
        </w:r>
        <w:r w:rsidR="006866B4">
          <w:rPr>
            <w:noProof/>
            <w:webHidden/>
          </w:rPr>
          <w:fldChar w:fldCharType="begin"/>
        </w:r>
        <w:r w:rsidR="006866B4">
          <w:rPr>
            <w:noProof/>
            <w:webHidden/>
          </w:rPr>
          <w:instrText xml:space="preserve"> PAGEREF _Toc405298588 \h </w:instrText>
        </w:r>
        <w:r w:rsidR="006866B4">
          <w:rPr>
            <w:noProof/>
            <w:webHidden/>
          </w:rPr>
        </w:r>
        <w:r w:rsidR="006866B4">
          <w:rPr>
            <w:noProof/>
            <w:webHidden/>
          </w:rPr>
          <w:fldChar w:fldCharType="separate"/>
        </w:r>
        <w:r w:rsidR="006866B4">
          <w:rPr>
            <w:noProof/>
            <w:webHidden/>
          </w:rPr>
          <w:t>3</w:t>
        </w:r>
        <w:r w:rsidR="006866B4">
          <w:rPr>
            <w:noProof/>
            <w:webHidden/>
          </w:rPr>
          <w:fldChar w:fldCharType="end"/>
        </w:r>
      </w:hyperlink>
    </w:p>
    <w:p w:rsidR="006866B4" w:rsidRDefault="004B03F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5298589" w:history="1">
        <w:r w:rsidR="006866B4" w:rsidRPr="00CD6993">
          <w:rPr>
            <w:rStyle w:val="Hyperlink"/>
            <w:rFonts w:ascii="Arial" w:hAnsi="Arial" w:cs="Arial"/>
            <w:noProof/>
          </w:rPr>
          <w:t>2.</w:t>
        </w:r>
        <w:r w:rsidR="006866B4">
          <w:rPr>
            <w:rFonts w:asciiTheme="minorHAnsi" w:eastAsiaTheme="minorEastAsia" w:hAnsiTheme="minorHAnsi" w:cstheme="minorBidi"/>
            <w:noProof/>
            <w:sz w:val="22"/>
            <w:szCs w:val="22"/>
            <w:lang w:eastAsia="en-AU"/>
          </w:rPr>
          <w:tab/>
        </w:r>
        <w:r w:rsidR="006866B4" w:rsidRPr="00CD6993">
          <w:rPr>
            <w:rStyle w:val="Hyperlink"/>
            <w:rFonts w:ascii="Arial" w:hAnsi="Arial" w:cs="Arial"/>
            <w:noProof/>
          </w:rPr>
          <w:t>Addresses by Members of the Public</w:t>
        </w:r>
        <w:r w:rsidR="006866B4">
          <w:rPr>
            <w:noProof/>
            <w:webHidden/>
          </w:rPr>
          <w:tab/>
        </w:r>
        <w:r w:rsidR="006866B4">
          <w:rPr>
            <w:noProof/>
            <w:webHidden/>
          </w:rPr>
          <w:fldChar w:fldCharType="begin"/>
        </w:r>
        <w:r w:rsidR="006866B4">
          <w:rPr>
            <w:noProof/>
            <w:webHidden/>
          </w:rPr>
          <w:instrText xml:space="preserve"> PAGEREF _Toc405298589 \h </w:instrText>
        </w:r>
        <w:r w:rsidR="006866B4">
          <w:rPr>
            <w:noProof/>
            <w:webHidden/>
          </w:rPr>
        </w:r>
        <w:r w:rsidR="006866B4">
          <w:rPr>
            <w:noProof/>
            <w:webHidden/>
          </w:rPr>
          <w:fldChar w:fldCharType="separate"/>
        </w:r>
        <w:r w:rsidR="006866B4">
          <w:rPr>
            <w:noProof/>
            <w:webHidden/>
          </w:rPr>
          <w:t>3</w:t>
        </w:r>
        <w:r w:rsidR="006866B4">
          <w:rPr>
            <w:noProof/>
            <w:webHidden/>
          </w:rPr>
          <w:fldChar w:fldCharType="end"/>
        </w:r>
      </w:hyperlink>
    </w:p>
    <w:p w:rsidR="006866B4" w:rsidRDefault="004B03F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5298590" w:history="1">
        <w:r w:rsidR="006866B4" w:rsidRPr="00CD6993">
          <w:rPr>
            <w:rStyle w:val="Hyperlink"/>
            <w:rFonts w:ascii="Arial" w:hAnsi="Arial" w:cs="Arial"/>
            <w:noProof/>
          </w:rPr>
          <w:t>3.</w:t>
        </w:r>
        <w:r w:rsidR="006866B4">
          <w:rPr>
            <w:rFonts w:asciiTheme="minorHAnsi" w:eastAsiaTheme="minorEastAsia" w:hAnsiTheme="minorHAnsi" w:cstheme="minorBidi"/>
            <w:noProof/>
            <w:sz w:val="22"/>
            <w:szCs w:val="22"/>
            <w:lang w:eastAsia="en-AU"/>
          </w:rPr>
          <w:tab/>
        </w:r>
        <w:r w:rsidR="006866B4" w:rsidRPr="00CD6993">
          <w:rPr>
            <w:rStyle w:val="Hyperlink"/>
            <w:rFonts w:ascii="Arial" w:hAnsi="Arial" w:cs="Arial"/>
            <w:noProof/>
          </w:rPr>
          <w:t>Disclosures of Financial Interest</w:t>
        </w:r>
        <w:r w:rsidR="006866B4">
          <w:rPr>
            <w:noProof/>
            <w:webHidden/>
          </w:rPr>
          <w:tab/>
        </w:r>
        <w:r w:rsidR="006866B4">
          <w:rPr>
            <w:noProof/>
            <w:webHidden/>
          </w:rPr>
          <w:fldChar w:fldCharType="begin"/>
        </w:r>
        <w:r w:rsidR="006866B4">
          <w:rPr>
            <w:noProof/>
            <w:webHidden/>
          </w:rPr>
          <w:instrText xml:space="preserve"> PAGEREF _Toc405298590 \h </w:instrText>
        </w:r>
        <w:r w:rsidR="006866B4">
          <w:rPr>
            <w:noProof/>
            <w:webHidden/>
          </w:rPr>
        </w:r>
        <w:r w:rsidR="006866B4">
          <w:rPr>
            <w:noProof/>
            <w:webHidden/>
          </w:rPr>
          <w:fldChar w:fldCharType="separate"/>
        </w:r>
        <w:r w:rsidR="006866B4">
          <w:rPr>
            <w:noProof/>
            <w:webHidden/>
          </w:rPr>
          <w:t>4</w:t>
        </w:r>
        <w:r w:rsidR="006866B4">
          <w:rPr>
            <w:noProof/>
            <w:webHidden/>
          </w:rPr>
          <w:fldChar w:fldCharType="end"/>
        </w:r>
      </w:hyperlink>
    </w:p>
    <w:p w:rsidR="006866B4" w:rsidRDefault="004B03F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5298591" w:history="1">
        <w:r w:rsidR="006866B4" w:rsidRPr="00CD6993">
          <w:rPr>
            <w:rStyle w:val="Hyperlink"/>
            <w:rFonts w:ascii="Arial" w:hAnsi="Arial" w:cs="Arial"/>
            <w:noProof/>
          </w:rPr>
          <w:t>4.</w:t>
        </w:r>
        <w:r w:rsidR="006866B4">
          <w:rPr>
            <w:rFonts w:asciiTheme="minorHAnsi" w:eastAsiaTheme="minorEastAsia" w:hAnsiTheme="minorHAnsi" w:cstheme="minorBidi"/>
            <w:noProof/>
            <w:sz w:val="22"/>
            <w:szCs w:val="22"/>
            <w:lang w:eastAsia="en-AU"/>
          </w:rPr>
          <w:tab/>
        </w:r>
        <w:r w:rsidR="006866B4" w:rsidRPr="00CD6993">
          <w:rPr>
            <w:rStyle w:val="Hyperlink"/>
            <w:rFonts w:ascii="Arial" w:hAnsi="Arial" w:cs="Arial"/>
            <w:noProof/>
          </w:rPr>
          <w:t>Disclosures of Interests Affecting Impartiality</w:t>
        </w:r>
        <w:r w:rsidR="006866B4">
          <w:rPr>
            <w:noProof/>
            <w:webHidden/>
          </w:rPr>
          <w:tab/>
        </w:r>
        <w:r w:rsidR="006866B4">
          <w:rPr>
            <w:noProof/>
            <w:webHidden/>
          </w:rPr>
          <w:fldChar w:fldCharType="begin"/>
        </w:r>
        <w:r w:rsidR="006866B4">
          <w:rPr>
            <w:noProof/>
            <w:webHidden/>
          </w:rPr>
          <w:instrText xml:space="preserve"> PAGEREF _Toc405298591 \h </w:instrText>
        </w:r>
        <w:r w:rsidR="006866B4">
          <w:rPr>
            <w:noProof/>
            <w:webHidden/>
          </w:rPr>
        </w:r>
        <w:r w:rsidR="006866B4">
          <w:rPr>
            <w:noProof/>
            <w:webHidden/>
          </w:rPr>
          <w:fldChar w:fldCharType="separate"/>
        </w:r>
        <w:r w:rsidR="006866B4">
          <w:rPr>
            <w:noProof/>
            <w:webHidden/>
          </w:rPr>
          <w:t>4</w:t>
        </w:r>
        <w:r w:rsidR="006866B4">
          <w:rPr>
            <w:noProof/>
            <w:webHidden/>
          </w:rPr>
          <w:fldChar w:fldCharType="end"/>
        </w:r>
      </w:hyperlink>
    </w:p>
    <w:p w:rsidR="006866B4" w:rsidRDefault="004B03F0" w:rsidP="006866B4">
      <w:pPr>
        <w:pStyle w:val="TOC1"/>
        <w:tabs>
          <w:tab w:val="left" w:pos="1134"/>
          <w:tab w:val="right" w:leader="dot" w:pos="8303"/>
        </w:tabs>
        <w:ind w:left="1134" w:hanging="1134"/>
        <w:rPr>
          <w:rFonts w:asciiTheme="minorHAnsi" w:eastAsiaTheme="minorEastAsia" w:hAnsiTheme="minorHAnsi" w:cstheme="minorBidi"/>
          <w:noProof/>
          <w:sz w:val="22"/>
          <w:szCs w:val="22"/>
          <w:lang w:eastAsia="en-AU"/>
        </w:rPr>
      </w:pPr>
      <w:hyperlink w:anchor="_Toc405298592" w:history="1">
        <w:r w:rsidR="006866B4" w:rsidRPr="00CD6993">
          <w:rPr>
            <w:rStyle w:val="Hyperlink"/>
            <w:rFonts w:ascii="Arial" w:hAnsi="Arial" w:cs="Arial"/>
            <w:noProof/>
          </w:rPr>
          <w:t>5.</w:t>
        </w:r>
        <w:r w:rsidR="006866B4">
          <w:rPr>
            <w:rFonts w:asciiTheme="minorHAnsi" w:eastAsiaTheme="minorEastAsia" w:hAnsiTheme="minorHAnsi" w:cstheme="minorBidi"/>
            <w:noProof/>
            <w:sz w:val="22"/>
            <w:szCs w:val="22"/>
            <w:lang w:eastAsia="en-AU"/>
          </w:rPr>
          <w:tab/>
        </w:r>
        <w:r w:rsidR="006866B4" w:rsidRPr="00CD6993">
          <w:rPr>
            <w:rStyle w:val="Hyperlink"/>
            <w:rFonts w:ascii="Arial" w:hAnsi="Arial" w:cs="Arial"/>
            <w:noProof/>
          </w:rPr>
          <w:t>Declarations by Members That They Have Not Given Due Consideration to Papers</w:t>
        </w:r>
        <w:r w:rsidR="006866B4">
          <w:rPr>
            <w:noProof/>
            <w:webHidden/>
          </w:rPr>
          <w:tab/>
        </w:r>
        <w:r w:rsidR="006866B4">
          <w:rPr>
            <w:noProof/>
            <w:webHidden/>
          </w:rPr>
          <w:fldChar w:fldCharType="begin"/>
        </w:r>
        <w:r w:rsidR="006866B4">
          <w:rPr>
            <w:noProof/>
            <w:webHidden/>
          </w:rPr>
          <w:instrText xml:space="preserve"> PAGEREF _Toc405298592 \h </w:instrText>
        </w:r>
        <w:r w:rsidR="006866B4">
          <w:rPr>
            <w:noProof/>
            <w:webHidden/>
          </w:rPr>
        </w:r>
        <w:r w:rsidR="006866B4">
          <w:rPr>
            <w:noProof/>
            <w:webHidden/>
          </w:rPr>
          <w:fldChar w:fldCharType="separate"/>
        </w:r>
        <w:r w:rsidR="006866B4">
          <w:rPr>
            <w:noProof/>
            <w:webHidden/>
          </w:rPr>
          <w:t>5</w:t>
        </w:r>
        <w:r w:rsidR="006866B4">
          <w:rPr>
            <w:noProof/>
            <w:webHidden/>
          </w:rPr>
          <w:fldChar w:fldCharType="end"/>
        </w:r>
      </w:hyperlink>
    </w:p>
    <w:p w:rsidR="006866B4" w:rsidRDefault="004B03F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5298593" w:history="1">
        <w:r w:rsidR="006866B4" w:rsidRPr="00CD6993">
          <w:rPr>
            <w:rStyle w:val="Hyperlink"/>
            <w:rFonts w:ascii="Arial" w:hAnsi="Arial" w:cs="Arial"/>
            <w:noProof/>
          </w:rPr>
          <w:t>6.</w:t>
        </w:r>
        <w:r w:rsidR="006866B4">
          <w:rPr>
            <w:rFonts w:asciiTheme="minorHAnsi" w:eastAsiaTheme="minorEastAsia" w:hAnsiTheme="minorHAnsi" w:cstheme="minorBidi"/>
            <w:noProof/>
            <w:sz w:val="22"/>
            <w:szCs w:val="22"/>
            <w:lang w:eastAsia="en-AU"/>
          </w:rPr>
          <w:tab/>
        </w:r>
        <w:r w:rsidR="006866B4" w:rsidRPr="00CD6993">
          <w:rPr>
            <w:rStyle w:val="Hyperlink"/>
            <w:rFonts w:ascii="Arial" w:hAnsi="Arial" w:cs="Arial"/>
            <w:noProof/>
          </w:rPr>
          <w:t>Annual Report 2013-2014</w:t>
        </w:r>
        <w:r w:rsidR="006866B4">
          <w:rPr>
            <w:noProof/>
            <w:webHidden/>
          </w:rPr>
          <w:tab/>
        </w:r>
        <w:r w:rsidR="006866B4">
          <w:rPr>
            <w:noProof/>
            <w:webHidden/>
          </w:rPr>
          <w:fldChar w:fldCharType="begin"/>
        </w:r>
        <w:r w:rsidR="006866B4">
          <w:rPr>
            <w:noProof/>
            <w:webHidden/>
          </w:rPr>
          <w:instrText xml:space="preserve"> PAGEREF _Toc405298593 \h </w:instrText>
        </w:r>
        <w:r w:rsidR="006866B4">
          <w:rPr>
            <w:noProof/>
            <w:webHidden/>
          </w:rPr>
        </w:r>
        <w:r w:rsidR="006866B4">
          <w:rPr>
            <w:noProof/>
            <w:webHidden/>
          </w:rPr>
          <w:fldChar w:fldCharType="separate"/>
        </w:r>
        <w:r w:rsidR="006866B4">
          <w:rPr>
            <w:noProof/>
            <w:webHidden/>
          </w:rPr>
          <w:t>5</w:t>
        </w:r>
        <w:r w:rsidR="006866B4">
          <w:rPr>
            <w:noProof/>
            <w:webHidden/>
          </w:rPr>
          <w:fldChar w:fldCharType="end"/>
        </w:r>
      </w:hyperlink>
    </w:p>
    <w:p w:rsidR="006866B4" w:rsidRDefault="004B03F0">
      <w:pPr>
        <w:pStyle w:val="TOC1"/>
        <w:tabs>
          <w:tab w:val="right" w:leader="dot" w:pos="8303"/>
        </w:tabs>
        <w:rPr>
          <w:rFonts w:asciiTheme="minorHAnsi" w:eastAsiaTheme="minorEastAsia" w:hAnsiTheme="minorHAnsi" w:cstheme="minorBidi"/>
          <w:noProof/>
          <w:sz w:val="22"/>
          <w:szCs w:val="22"/>
          <w:lang w:eastAsia="en-AU"/>
        </w:rPr>
      </w:pPr>
      <w:hyperlink w:anchor="_Toc405298594" w:history="1">
        <w:r w:rsidR="006866B4" w:rsidRPr="00CD6993">
          <w:rPr>
            <w:rStyle w:val="Hyperlink"/>
            <w:rFonts w:ascii="Arial" w:hAnsi="Arial" w:cs="Arial"/>
            <w:noProof/>
          </w:rPr>
          <w:t>Declaration of Closure</w:t>
        </w:r>
        <w:r w:rsidR="006866B4">
          <w:rPr>
            <w:noProof/>
            <w:webHidden/>
          </w:rPr>
          <w:tab/>
        </w:r>
        <w:r w:rsidR="006866B4">
          <w:rPr>
            <w:noProof/>
            <w:webHidden/>
          </w:rPr>
          <w:fldChar w:fldCharType="begin"/>
        </w:r>
        <w:r w:rsidR="006866B4">
          <w:rPr>
            <w:noProof/>
            <w:webHidden/>
          </w:rPr>
          <w:instrText xml:space="preserve"> PAGEREF _Toc405298594 \h </w:instrText>
        </w:r>
        <w:r w:rsidR="006866B4">
          <w:rPr>
            <w:noProof/>
            <w:webHidden/>
          </w:rPr>
        </w:r>
        <w:r w:rsidR="006866B4">
          <w:rPr>
            <w:noProof/>
            <w:webHidden/>
          </w:rPr>
          <w:fldChar w:fldCharType="separate"/>
        </w:r>
        <w:r w:rsidR="006866B4">
          <w:rPr>
            <w:noProof/>
            <w:webHidden/>
          </w:rPr>
          <w:t>13</w:t>
        </w:r>
        <w:r w:rsidR="006866B4">
          <w:rPr>
            <w:noProof/>
            <w:webHidden/>
          </w:rPr>
          <w:fldChar w:fldCharType="end"/>
        </w:r>
      </w:hyperlink>
    </w:p>
    <w:p w:rsidR="00463F73" w:rsidRDefault="00BF6F64" w:rsidP="00463F73">
      <w:pPr>
        <w:tabs>
          <w:tab w:val="left" w:pos="720"/>
          <w:tab w:val="left" w:pos="1440"/>
          <w:tab w:val="left" w:pos="2410"/>
          <w:tab w:val="left" w:pos="2977"/>
          <w:tab w:val="right" w:pos="8335"/>
          <w:tab w:val="right" w:pos="8505"/>
        </w:tabs>
        <w:rPr>
          <w:rFonts w:ascii="Arial" w:hAnsi="Arial" w:cs="Arial"/>
        </w:rPr>
      </w:pPr>
      <w:r w:rsidRPr="00031B19">
        <w:rPr>
          <w:rFonts w:ascii="Arial" w:hAnsi="Arial" w:cs="Arial"/>
          <w:b/>
          <w:szCs w:val="24"/>
          <w:u w:val="single"/>
        </w:rPr>
        <w:fldChar w:fldCharType="end"/>
      </w:r>
    </w:p>
    <w:p w:rsidR="00463F73" w:rsidRDefault="00463F73" w:rsidP="00562866">
      <w:pPr>
        <w:tabs>
          <w:tab w:val="left" w:pos="720"/>
          <w:tab w:val="left" w:pos="1440"/>
          <w:tab w:val="left" w:pos="2410"/>
          <w:tab w:val="left" w:pos="2977"/>
          <w:tab w:val="right" w:pos="8335"/>
          <w:tab w:val="right" w:pos="8505"/>
        </w:tabs>
        <w:rPr>
          <w:rFonts w:ascii="Arial" w:hAnsi="Arial" w:cs="Arial"/>
        </w:rPr>
      </w:pPr>
    </w:p>
    <w:p w:rsidR="00463F73" w:rsidRDefault="00463F73" w:rsidP="00562866">
      <w:pPr>
        <w:tabs>
          <w:tab w:val="left" w:pos="720"/>
          <w:tab w:val="left" w:pos="1440"/>
          <w:tab w:val="left" w:pos="2410"/>
          <w:tab w:val="left" w:pos="2977"/>
          <w:tab w:val="right" w:pos="8335"/>
          <w:tab w:val="right" w:pos="8505"/>
        </w:tabs>
        <w:rPr>
          <w:rFonts w:ascii="Arial" w:hAnsi="Arial" w:cs="Arial"/>
        </w:rPr>
      </w:pPr>
    </w:p>
    <w:p w:rsidR="00463F73" w:rsidRDefault="00463F73"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Default="00180419" w:rsidP="00285009">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w:t>
      </w:r>
      <w:r w:rsidR="000575F3">
        <w:rPr>
          <w:rFonts w:ascii="Arial" w:hAnsi="Arial" w:cs="Arial"/>
          <w:b/>
          <w:szCs w:val="24"/>
        </w:rPr>
        <w:t>S</w:t>
      </w:r>
      <w:r w:rsidR="003D10A2">
        <w:rPr>
          <w:rFonts w:ascii="Arial" w:hAnsi="Arial" w:cs="Arial"/>
          <w:b/>
          <w:szCs w:val="24"/>
        </w:rPr>
        <w:t xml:space="preserve">pecial </w:t>
      </w:r>
      <w:r w:rsidR="000575F3">
        <w:rPr>
          <w:rFonts w:ascii="Arial" w:hAnsi="Arial" w:cs="Arial"/>
          <w:b/>
          <w:szCs w:val="24"/>
        </w:rPr>
        <w:t>M</w:t>
      </w:r>
      <w:r w:rsidRPr="00180419">
        <w:rPr>
          <w:rFonts w:ascii="Arial" w:hAnsi="Arial" w:cs="Arial"/>
          <w:b/>
          <w:szCs w:val="24"/>
        </w:rPr>
        <w:t xml:space="preserve">eeting of Council to be held in the </w:t>
      </w:r>
      <w:r w:rsidR="000575F3" w:rsidRPr="000575F3">
        <w:rPr>
          <w:rFonts w:ascii="Arial" w:hAnsi="Arial" w:cs="Arial"/>
          <w:b/>
          <w:szCs w:val="24"/>
        </w:rPr>
        <w:t xml:space="preserve">Council Chambers at 71 Stirling Highway Nedlands commencing at 6.00 pm for the purpose of </w:t>
      </w:r>
      <w:r w:rsidR="00B61958">
        <w:rPr>
          <w:rFonts w:ascii="Arial" w:hAnsi="Arial" w:cs="Arial"/>
          <w:b/>
          <w:szCs w:val="24"/>
        </w:rPr>
        <w:t>receiving the Annual Report 2013-2014</w:t>
      </w:r>
      <w:r w:rsidR="00285009" w:rsidRPr="00285009">
        <w:rPr>
          <w:rFonts w:ascii="Arial" w:hAnsi="Arial" w:cs="Arial"/>
          <w:b/>
          <w:szCs w:val="24"/>
        </w:rPr>
        <w:t>.</w:t>
      </w: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rsidR="00562866" w:rsidRPr="00C504CE" w:rsidRDefault="00562866" w:rsidP="00562866">
      <w:pPr>
        <w:rPr>
          <w:rFonts w:ascii="Arial" w:hAnsi="Arial" w:cs="Arial"/>
        </w:rPr>
      </w:pPr>
    </w:p>
    <w:p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40529858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rsidR="00683A50" w:rsidRDefault="00B61958" w:rsidP="00285009">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Presiding Member </w:t>
      </w:r>
      <w:r w:rsidR="00450229">
        <w:rPr>
          <w:rFonts w:ascii="Arial" w:hAnsi="Arial" w:cs="Arial"/>
          <w:szCs w:val="24"/>
        </w:rPr>
        <w:t>will declare the meeting open at 6.00pm and will draw attention to the disclaimer below.</w:t>
      </w:r>
    </w:p>
    <w:p w:rsidR="00450229" w:rsidRDefault="00450229" w:rsidP="00285009">
      <w:pPr>
        <w:tabs>
          <w:tab w:val="left" w:pos="720"/>
          <w:tab w:val="left" w:pos="1440"/>
          <w:tab w:val="left" w:pos="2410"/>
          <w:tab w:val="left" w:pos="2977"/>
          <w:tab w:val="right" w:pos="8335"/>
          <w:tab w:val="right" w:pos="8505"/>
        </w:tabs>
        <w:jc w:val="both"/>
        <w:rPr>
          <w:rFonts w:ascii="Arial" w:hAnsi="Arial" w:cs="Arial"/>
          <w:szCs w:val="24"/>
        </w:rPr>
      </w:pP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405298587"/>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C077B" w:rsidRPr="00CC5F98" w:rsidRDefault="00DC077B" w:rsidP="00DC077B">
      <w:pPr>
        <w:tabs>
          <w:tab w:val="left" w:pos="1985"/>
          <w:tab w:val="left" w:pos="2977"/>
          <w:tab w:val="right" w:pos="8335"/>
        </w:tabs>
        <w:rPr>
          <w:rFonts w:ascii="Arial" w:hAnsi="Arial" w:cs="Arial"/>
          <w:szCs w:val="24"/>
        </w:rPr>
      </w:pPr>
      <w:r w:rsidRPr="00180419">
        <w:rPr>
          <w:rFonts w:ascii="Arial" w:hAnsi="Arial" w:cs="Arial"/>
          <w:b/>
        </w:rPr>
        <w:t>Leave of Absence</w:t>
      </w:r>
      <w:r>
        <w:rPr>
          <w:rFonts w:ascii="Arial" w:hAnsi="Arial" w:cs="Arial"/>
          <w:b/>
        </w:rPr>
        <w:tab/>
      </w:r>
      <w:r w:rsidR="00450229">
        <w:rPr>
          <w:rFonts w:ascii="Arial" w:hAnsi="Arial" w:cs="Arial"/>
          <w:szCs w:val="24"/>
        </w:rPr>
        <w:t>Councillor R Binks</w:t>
      </w:r>
      <w:r w:rsidRPr="00CC5F98">
        <w:rPr>
          <w:rFonts w:ascii="Arial" w:hAnsi="Arial" w:cs="Arial"/>
          <w:szCs w:val="24"/>
        </w:rPr>
        <w:tab/>
      </w:r>
      <w:r w:rsidR="00450229">
        <w:rPr>
          <w:rFonts w:ascii="Arial" w:hAnsi="Arial" w:cs="Arial"/>
          <w:szCs w:val="24"/>
        </w:rPr>
        <w:t>Hollywood Ward</w:t>
      </w:r>
    </w:p>
    <w:p w:rsidR="00DC077B" w:rsidRPr="00180419" w:rsidRDefault="00DC077B" w:rsidP="00DC077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r>
        <w:rPr>
          <w:rFonts w:ascii="Arial" w:hAnsi="Arial" w:cs="Arial"/>
          <w:b/>
          <w:sz w:val="22"/>
        </w:rPr>
        <w:tab/>
      </w:r>
      <w:r>
        <w:rPr>
          <w:rFonts w:ascii="Arial" w:hAnsi="Arial" w:cs="Arial"/>
          <w:b/>
          <w:sz w:val="22"/>
        </w:rPr>
        <w:tab/>
      </w:r>
    </w:p>
    <w:p w:rsidR="00DC077B" w:rsidRDefault="00DC077B" w:rsidP="00DC077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rsidR="00C504CE" w:rsidRPr="00180419" w:rsidRDefault="00C504C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rsidR="003B65B2" w:rsidRDefault="003B65B2" w:rsidP="003B65B2">
      <w:pPr>
        <w:pStyle w:val="BodyText2"/>
        <w:rPr>
          <w:rFonts w:ascii="Arial" w:hAnsi="Arial" w:cs="Arial"/>
          <w:i w:val="0"/>
          <w:sz w:val="22"/>
          <w:szCs w:val="24"/>
        </w:rPr>
      </w:pPr>
    </w:p>
    <w:p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rsidR="00562866" w:rsidRPr="00C504CE" w:rsidRDefault="00562866" w:rsidP="00765E9D">
      <w:pPr>
        <w:pStyle w:val="BodyText2"/>
        <w:rPr>
          <w:rFonts w:ascii="Arial" w:hAnsi="Arial" w:cs="Arial"/>
          <w:i w:val="0"/>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404154627"/>
      <w:bookmarkStart w:id="4" w:name="_Toc405298588"/>
      <w:r w:rsidRPr="00180419">
        <w:rPr>
          <w:rFonts w:ascii="Arial" w:hAnsi="Arial" w:cs="Arial"/>
          <w:caps w:val="0"/>
          <w:sz w:val="24"/>
          <w:szCs w:val="24"/>
          <w:u w:val="none"/>
        </w:rPr>
        <w:t>Public Question Time</w:t>
      </w:r>
      <w:bookmarkEnd w:id="3"/>
      <w:bookmarkEnd w:id="4"/>
    </w:p>
    <w:p w:rsidR="00B61958" w:rsidRPr="00180419" w:rsidRDefault="00B61958" w:rsidP="00B61958">
      <w:pPr>
        <w:tabs>
          <w:tab w:val="left" w:pos="720"/>
          <w:tab w:val="left" w:pos="1440"/>
          <w:tab w:val="left" w:pos="2410"/>
          <w:tab w:val="left" w:pos="2977"/>
          <w:tab w:val="right" w:pos="8505"/>
        </w:tabs>
        <w:jc w:val="both"/>
        <w:rPr>
          <w:rFonts w:ascii="Arial" w:hAnsi="Arial" w:cs="Arial"/>
          <w:szCs w:val="24"/>
        </w:rPr>
      </w:pPr>
    </w:p>
    <w:p w:rsidR="00B61958" w:rsidRPr="00765E9D"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rsidR="00B61958" w:rsidRPr="00765E9D"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p>
    <w:p w:rsidR="00B61958" w:rsidRPr="00765E9D"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rsidR="00B61958" w:rsidRDefault="00B61958" w:rsidP="00B619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B61958" w:rsidRDefault="00B61958" w:rsidP="00B619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404154628"/>
      <w:bookmarkStart w:id="6" w:name="_Toc405298589"/>
      <w:r w:rsidRPr="00180419">
        <w:rPr>
          <w:rFonts w:ascii="Arial" w:hAnsi="Arial" w:cs="Arial"/>
          <w:caps w:val="0"/>
          <w:sz w:val="24"/>
          <w:szCs w:val="24"/>
          <w:u w:val="none"/>
        </w:rPr>
        <w:t>Add</w:t>
      </w:r>
      <w:r>
        <w:rPr>
          <w:rFonts w:ascii="Arial" w:hAnsi="Arial" w:cs="Arial"/>
          <w:caps w:val="0"/>
          <w:sz w:val="24"/>
          <w:szCs w:val="24"/>
          <w:u w:val="none"/>
        </w:rPr>
        <w:t>resses by Members of the Public</w:t>
      </w:r>
      <w:bookmarkEnd w:id="5"/>
      <w:bookmarkEnd w:id="6"/>
    </w:p>
    <w:p w:rsidR="00B61958" w:rsidRPr="00180419" w:rsidRDefault="00B61958" w:rsidP="00B61958">
      <w:pPr>
        <w:tabs>
          <w:tab w:val="left" w:pos="720"/>
          <w:tab w:val="left" w:pos="1440"/>
          <w:tab w:val="left" w:pos="2410"/>
          <w:tab w:val="left" w:pos="2977"/>
          <w:tab w:val="right" w:pos="8505"/>
        </w:tabs>
        <w:ind w:left="720"/>
        <w:jc w:val="both"/>
        <w:rPr>
          <w:rFonts w:ascii="Arial" w:hAnsi="Arial" w:cs="Arial"/>
          <w:szCs w:val="24"/>
        </w:rPr>
      </w:pPr>
    </w:p>
    <w:p w:rsidR="00B61958" w:rsidRPr="00F510A9" w:rsidRDefault="00B61958" w:rsidP="00B61958">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Pr>
          <w:rFonts w:ascii="Arial" w:hAnsi="Arial" w:cs="Arial"/>
        </w:rPr>
        <w:t>Forms to be made at this point.</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404154632"/>
      <w:bookmarkStart w:id="8" w:name="_Toc405298590"/>
      <w:r w:rsidRPr="00180419">
        <w:rPr>
          <w:rFonts w:ascii="Arial" w:hAnsi="Arial" w:cs="Arial"/>
          <w:caps w:val="0"/>
          <w:sz w:val="24"/>
          <w:szCs w:val="24"/>
          <w:u w:val="none"/>
        </w:rPr>
        <w:t>Disclosures of Financial Interest</w:t>
      </w:r>
      <w:bookmarkEnd w:id="7"/>
      <w:bookmarkEnd w:id="8"/>
    </w:p>
    <w:p w:rsidR="00B61958" w:rsidRPr="00180419" w:rsidRDefault="00B61958" w:rsidP="00B61958">
      <w:pPr>
        <w:tabs>
          <w:tab w:val="left" w:pos="720"/>
          <w:tab w:val="left" w:pos="1440"/>
          <w:tab w:val="left" w:pos="2410"/>
          <w:tab w:val="left" w:pos="2977"/>
          <w:tab w:val="right" w:pos="8335"/>
          <w:tab w:val="right" w:pos="8505"/>
        </w:tabs>
        <w:ind w:left="720"/>
        <w:jc w:val="both"/>
        <w:rPr>
          <w:rFonts w:ascii="Arial" w:hAnsi="Arial" w:cs="Arial"/>
          <w:b/>
          <w:szCs w:val="24"/>
        </w:rPr>
      </w:pPr>
    </w:p>
    <w:p w:rsidR="00B61958" w:rsidRPr="00180419" w:rsidRDefault="00B61958" w:rsidP="00B61958">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B61958" w:rsidRPr="00180419" w:rsidRDefault="00B61958" w:rsidP="00B61958">
      <w:pPr>
        <w:pStyle w:val="BodyTextIndent"/>
        <w:tabs>
          <w:tab w:val="clear" w:pos="720"/>
        </w:tabs>
        <w:ind w:left="0"/>
        <w:rPr>
          <w:rFonts w:ascii="Arial" w:hAnsi="Arial" w:cs="Arial"/>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rsidR="00B61958" w:rsidRPr="00562866" w:rsidRDefault="00B61958" w:rsidP="00B61958">
      <w:pPr>
        <w:pStyle w:val="BodyTextIndent"/>
        <w:tabs>
          <w:tab w:val="clear" w:pos="720"/>
        </w:tabs>
        <w:ind w:left="0"/>
        <w:rPr>
          <w:rFonts w:ascii="Arial" w:hAnsi="Arial" w:cs="Arial"/>
          <w:sz w:val="22"/>
          <w:szCs w:val="24"/>
        </w:rPr>
      </w:pPr>
    </w:p>
    <w:p w:rsidR="00B61958"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rsidR="00B61958" w:rsidRDefault="00B61958" w:rsidP="00B61958">
      <w:pPr>
        <w:pStyle w:val="BodyTextIndent"/>
        <w:rPr>
          <w:rFonts w:ascii="Arial" w:hAnsi="Arial" w:cs="Arial"/>
          <w:sz w:val="22"/>
          <w:szCs w:val="24"/>
        </w:rPr>
      </w:pPr>
    </w:p>
    <w:p w:rsidR="00B61958" w:rsidRPr="00180419" w:rsidRDefault="00B61958" w:rsidP="00B61958">
      <w:pPr>
        <w:pStyle w:val="BodyTextIndent"/>
        <w:rPr>
          <w:rFonts w:ascii="Arial" w:hAnsi="Arial" w:cs="Arial"/>
          <w:b/>
          <w:i/>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404154633"/>
      <w:bookmarkStart w:id="10" w:name="_Toc405298591"/>
      <w:r w:rsidRPr="00180419">
        <w:rPr>
          <w:rFonts w:ascii="Arial" w:hAnsi="Arial" w:cs="Arial"/>
          <w:caps w:val="0"/>
          <w:sz w:val="24"/>
          <w:szCs w:val="24"/>
          <w:u w:val="none"/>
        </w:rPr>
        <w:t>Disclosures of Interests Affecting Impartiality</w:t>
      </w:r>
      <w:bookmarkEnd w:id="9"/>
      <w:bookmarkEnd w:id="10"/>
    </w:p>
    <w:p w:rsidR="00B61958" w:rsidRPr="00562866" w:rsidRDefault="00B61958" w:rsidP="00B61958">
      <w:pPr>
        <w:pStyle w:val="BodyTextIndent"/>
        <w:rPr>
          <w:rFonts w:ascii="Arial" w:hAnsi="Arial" w:cs="Arial"/>
          <w:szCs w:val="24"/>
        </w:rPr>
      </w:pPr>
    </w:p>
    <w:p w:rsidR="00B61958" w:rsidRDefault="00B61958" w:rsidP="00B61958">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B61958" w:rsidRPr="00562866" w:rsidRDefault="00B61958" w:rsidP="00B61958">
      <w:pPr>
        <w:pStyle w:val="BodyTextIndent"/>
        <w:tabs>
          <w:tab w:val="clear" w:pos="720"/>
        </w:tabs>
        <w:ind w:left="0"/>
        <w:rPr>
          <w:rFonts w:ascii="Arial" w:hAnsi="Arial" w:cs="Arial"/>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rsidR="00B61958" w:rsidRPr="00562866" w:rsidRDefault="00B61958" w:rsidP="00B61958">
      <w:pPr>
        <w:pStyle w:val="BodyTextIndent"/>
        <w:tabs>
          <w:tab w:val="clear" w:pos="720"/>
        </w:tabs>
        <w:ind w:left="0"/>
        <w:rPr>
          <w:rFonts w:ascii="Arial" w:hAnsi="Arial" w:cs="Arial"/>
          <w:sz w:val="22"/>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rsidR="00B61958" w:rsidRPr="00562866" w:rsidRDefault="00B61958" w:rsidP="00B61958">
      <w:pPr>
        <w:pStyle w:val="BodyTextIndent"/>
        <w:tabs>
          <w:tab w:val="clear" w:pos="720"/>
        </w:tabs>
        <w:ind w:left="0"/>
        <w:rPr>
          <w:rFonts w:ascii="Arial" w:hAnsi="Arial" w:cs="Arial"/>
          <w:sz w:val="22"/>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rsidR="00B61958" w:rsidRPr="00562866" w:rsidRDefault="00B61958" w:rsidP="00B61958">
      <w:pPr>
        <w:pStyle w:val="BodyTextIndent"/>
        <w:tabs>
          <w:tab w:val="clear" w:pos="720"/>
        </w:tabs>
        <w:ind w:left="0"/>
        <w:rPr>
          <w:rFonts w:ascii="Arial" w:hAnsi="Arial" w:cs="Arial"/>
          <w:sz w:val="22"/>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B61958" w:rsidRPr="006053A2" w:rsidRDefault="00C504CE"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1" w:name="_Toc404154634"/>
      <w:bookmarkStart w:id="12" w:name="_Toc405298592"/>
      <w:r w:rsidR="00B61958" w:rsidRPr="00180419">
        <w:rPr>
          <w:rFonts w:ascii="Arial" w:hAnsi="Arial" w:cs="Arial"/>
          <w:caps w:val="0"/>
          <w:sz w:val="24"/>
          <w:szCs w:val="24"/>
          <w:u w:val="none"/>
        </w:rPr>
        <w:t>Declarations by Members That They Ha</w:t>
      </w:r>
      <w:r w:rsidR="00B61958">
        <w:rPr>
          <w:rFonts w:ascii="Arial" w:hAnsi="Arial" w:cs="Arial"/>
          <w:caps w:val="0"/>
          <w:sz w:val="24"/>
          <w:szCs w:val="24"/>
          <w:u w:val="none"/>
        </w:rPr>
        <w:t>ve</w:t>
      </w:r>
      <w:r w:rsidR="00B61958" w:rsidRPr="00180419">
        <w:rPr>
          <w:rFonts w:ascii="Arial" w:hAnsi="Arial" w:cs="Arial"/>
          <w:caps w:val="0"/>
          <w:sz w:val="24"/>
          <w:szCs w:val="24"/>
          <w:u w:val="none"/>
        </w:rPr>
        <w:t xml:space="preserve"> Not Given Due Consideration to Papers</w:t>
      </w:r>
      <w:bookmarkEnd w:id="11"/>
      <w:bookmarkEnd w:id="12"/>
    </w:p>
    <w:p w:rsidR="00B61958" w:rsidRPr="00180419" w:rsidRDefault="00B61958" w:rsidP="00B6195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B61958" w:rsidRPr="00180419"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Members who have not read the business papers to make declarations at this point.</w:t>
      </w:r>
    </w:p>
    <w:p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rsidR="00D05D60" w:rsidRDefault="00B61958" w:rsidP="006866B4">
      <w:pPr>
        <w:pStyle w:val="Heading1"/>
        <w:numPr>
          <w:ilvl w:val="0"/>
          <w:numId w:val="1"/>
        </w:numPr>
        <w:tabs>
          <w:tab w:val="clear" w:pos="720"/>
        </w:tabs>
        <w:spacing w:before="0" w:after="0"/>
        <w:ind w:left="0" w:hanging="851"/>
        <w:rPr>
          <w:rFonts w:ascii="Arial" w:hAnsi="Arial" w:cs="Arial"/>
          <w:caps w:val="0"/>
          <w:sz w:val="24"/>
          <w:szCs w:val="24"/>
          <w:u w:val="none"/>
        </w:rPr>
      </w:pPr>
      <w:bookmarkStart w:id="13" w:name="_Toc405298593"/>
      <w:r>
        <w:rPr>
          <w:rFonts w:ascii="Arial" w:hAnsi="Arial" w:cs="Arial"/>
          <w:caps w:val="0"/>
          <w:sz w:val="24"/>
          <w:szCs w:val="24"/>
          <w:u w:val="none"/>
        </w:rPr>
        <w:t>Annual Report 2013-2014</w:t>
      </w:r>
      <w:bookmarkEnd w:id="13"/>
    </w:p>
    <w:p w:rsidR="003E1309" w:rsidRDefault="003E1309" w:rsidP="003E1309">
      <w:pPr>
        <w:pStyle w:val="ListParagraph"/>
        <w:spacing w:after="0"/>
        <w:ind w:left="426"/>
        <w:rPr>
          <w:rFonts w:ascii="Arial" w:hAnsi="Arial" w:cs="Arial"/>
          <w:sz w:val="24"/>
          <w:lang w:val="en-AU"/>
        </w:rPr>
      </w:pPr>
    </w:p>
    <w:tbl>
      <w:tblPr>
        <w:tblStyle w:val="TableGrid"/>
        <w:tblW w:w="0" w:type="auto"/>
        <w:tblInd w:w="108" w:type="dxa"/>
        <w:tblLook w:val="04A0" w:firstRow="1" w:lastRow="0" w:firstColumn="1" w:lastColumn="0" w:noHBand="0" w:noVBand="1"/>
      </w:tblPr>
      <w:tblGrid>
        <w:gridCol w:w="2138"/>
        <w:gridCol w:w="6057"/>
      </w:tblGrid>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Council</w:t>
            </w:r>
          </w:p>
        </w:tc>
        <w:tc>
          <w:tcPr>
            <w:tcW w:w="6057" w:type="dxa"/>
          </w:tcPr>
          <w:p w:rsidR="00B61958" w:rsidRPr="00B0269E" w:rsidRDefault="00B61958" w:rsidP="00736DE3">
            <w:pPr>
              <w:spacing w:before="60" w:after="60"/>
              <w:jc w:val="both"/>
              <w:rPr>
                <w:rFonts w:ascii="Arial" w:hAnsi="Arial" w:cs="Arial"/>
                <w:szCs w:val="24"/>
              </w:rPr>
            </w:pPr>
            <w:r w:rsidRPr="00B0269E">
              <w:rPr>
                <w:rFonts w:ascii="Arial" w:hAnsi="Arial" w:cs="Arial"/>
                <w:szCs w:val="24"/>
              </w:rPr>
              <w:t>9 December 2014</w:t>
            </w:r>
          </w:p>
        </w:tc>
      </w:tr>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Applicant</w:t>
            </w:r>
          </w:p>
        </w:tc>
        <w:tc>
          <w:tcPr>
            <w:tcW w:w="6057" w:type="dxa"/>
          </w:tcPr>
          <w:p w:rsidR="00B61958" w:rsidRPr="00B0269E" w:rsidRDefault="00B61958" w:rsidP="00736DE3">
            <w:pPr>
              <w:spacing w:before="60" w:after="60"/>
              <w:jc w:val="both"/>
              <w:rPr>
                <w:rFonts w:ascii="Arial" w:hAnsi="Arial" w:cs="Arial"/>
                <w:szCs w:val="24"/>
              </w:rPr>
            </w:pPr>
            <w:r w:rsidRPr="00B0269E">
              <w:rPr>
                <w:rFonts w:ascii="Arial" w:hAnsi="Arial" w:cs="Arial"/>
                <w:szCs w:val="24"/>
              </w:rPr>
              <w:t>City of Nedlands</w:t>
            </w:r>
          </w:p>
        </w:tc>
      </w:tr>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Officer</w:t>
            </w:r>
          </w:p>
        </w:tc>
        <w:tc>
          <w:tcPr>
            <w:tcW w:w="6057" w:type="dxa"/>
          </w:tcPr>
          <w:p w:rsidR="00B61958" w:rsidRPr="00B0269E" w:rsidRDefault="00B61958" w:rsidP="00736DE3">
            <w:pPr>
              <w:spacing w:before="60" w:after="60"/>
              <w:jc w:val="both"/>
              <w:rPr>
                <w:rFonts w:ascii="Arial" w:hAnsi="Arial" w:cs="Arial"/>
                <w:szCs w:val="24"/>
              </w:rPr>
            </w:pPr>
            <w:r w:rsidRPr="00B0269E">
              <w:rPr>
                <w:rFonts w:ascii="Arial" w:hAnsi="Arial" w:cs="Arial"/>
                <w:szCs w:val="24"/>
              </w:rPr>
              <w:t>Michael Cole, Director Corporate and Strategy</w:t>
            </w:r>
          </w:p>
        </w:tc>
      </w:tr>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CEO</w:t>
            </w:r>
          </w:p>
        </w:tc>
        <w:tc>
          <w:tcPr>
            <w:tcW w:w="6057" w:type="dxa"/>
          </w:tcPr>
          <w:p w:rsidR="00B61958" w:rsidRPr="00B0269E" w:rsidRDefault="00B61958" w:rsidP="00736DE3">
            <w:pPr>
              <w:spacing w:before="60" w:after="60"/>
              <w:jc w:val="both"/>
              <w:rPr>
                <w:rFonts w:ascii="Arial" w:hAnsi="Arial" w:cs="Arial"/>
                <w:szCs w:val="24"/>
              </w:rPr>
            </w:pPr>
            <w:r w:rsidRPr="00B0269E">
              <w:rPr>
                <w:rFonts w:ascii="Arial" w:hAnsi="Arial" w:cs="Arial"/>
                <w:szCs w:val="24"/>
              </w:rPr>
              <w:t>Greg Trevaskis</w:t>
            </w:r>
          </w:p>
        </w:tc>
      </w:tr>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CEO Signature</w:t>
            </w:r>
          </w:p>
        </w:tc>
        <w:tc>
          <w:tcPr>
            <w:tcW w:w="6057" w:type="dxa"/>
          </w:tcPr>
          <w:p w:rsidR="00450229" w:rsidRDefault="00450229" w:rsidP="00736DE3">
            <w:pPr>
              <w:spacing w:before="60" w:after="60"/>
              <w:jc w:val="both"/>
              <w:rPr>
                <w:rFonts w:ascii="Arial" w:hAnsi="Arial" w:cs="Arial"/>
                <w:szCs w:val="24"/>
              </w:rPr>
            </w:pPr>
          </w:p>
          <w:p w:rsidR="00B61958" w:rsidRPr="00B0269E" w:rsidRDefault="00B61958" w:rsidP="00736DE3">
            <w:pPr>
              <w:spacing w:before="60" w:after="60"/>
              <w:jc w:val="both"/>
              <w:rPr>
                <w:rFonts w:ascii="Arial" w:hAnsi="Arial" w:cs="Arial"/>
                <w:szCs w:val="24"/>
              </w:rPr>
            </w:pPr>
          </w:p>
        </w:tc>
      </w:tr>
      <w:tr w:rsidR="00B61958" w:rsidRPr="00B0269E" w:rsidTr="00450229">
        <w:tc>
          <w:tcPr>
            <w:tcW w:w="2138" w:type="dxa"/>
          </w:tcPr>
          <w:p w:rsidR="00B61958" w:rsidRPr="00B0269E" w:rsidRDefault="00450229" w:rsidP="00736DE3">
            <w:pPr>
              <w:spacing w:before="60" w:after="60"/>
              <w:jc w:val="both"/>
              <w:rPr>
                <w:rFonts w:ascii="Arial" w:hAnsi="Arial" w:cs="Arial"/>
                <w:b/>
                <w:szCs w:val="24"/>
              </w:rPr>
            </w:pPr>
            <w:r>
              <w:rPr>
                <w:rFonts w:ascii="Arial" w:hAnsi="Arial" w:cs="Arial"/>
                <w:noProof/>
                <w:szCs w:val="24"/>
                <w:lang w:eastAsia="en-AU"/>
              </w:rPr>
              <w:drawing>
                <wp:anchor distT="0" distB="0" distL="114300" distR="114300" simplePos="0" relativeHeight="251663360" behindDoc="1" locked="0" layoutInCell="1" allowOverlap="1" wp14:anchorId="6053CBF8" wp14:editId="2E41DD9E">
                  <wp:simplePos x="0" y="0"/>
                  <wp:positionH relativeFrom="column">
                    <wp:posOffset>1022985</wp:posOffset>
                  </wp:positionH>
                  <wp:positionV relativeFrom="paragraph">
                    <wp:posOffset>-864897</wp:posOffset>
                  </wp:positionV>
                  <wp:extent cx="2936240" cy="14490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6240" cy="1449070"/>
                          </a:xfrm>
                          <a:prstGeom prst="rect">
                            <a:avLst/>
                          </a:prstGeom>
                          <a:noFill/>
                        </pic:spPr>
                      </pic:pic>
                    </a:graphicData>
                  </a:graphic>
                  <wp14:sizeRelH relativeFrom="page">
                    <wp14:pctWidth>0</wp14:pctWidth>
                  </wp14:sizeRelH>
                  <wp14:sizeRelV relativeFrom="page">
                    <wp14:pctHeight>0</wp14:pctHeight>
                  </wp14:sizeRelV>
                </wp:anchor>
              </w:drawing>
            </w:r>
            <w:r w:rsidR="00B61958" w:rsidRPr="00B0269E">
              <w:rPr>
                <w:rFonts w:ascii="Arial" w:hAnsi="Arial" w:cs="Arial"/>
                <w:b/>
                <w:szCs w:val="24"/>
              </w:rPr>
              <w:t>Previous Item</w:t>
            </w:r>
          </w:p>
        </w:tc>
        <w:tc>
          <w:tcPr>
            <w:tcW w:w="6057" w:type="dxa"/>
          </w:tcPr>
          <w:p w:rsidR="00B61958" w:rsidRPr="00B0269E" w:rsidRDefault="00B61958" w:rsidP="00736DE3">
            <w:pPr>
              <w:spacing w:before="60" w:after="60"/>
              <w:jc w:val="both"/>
              <w:rPr>
                <w:rFonts w:ascii="Arial" w:hAnsi="Arial" w:cs="Arial"/>
                <w:szCs w:val="24"/>
              </w:rPr>
            </w:pPr>
            <w:r w:rsidRPr="00B0269E">
              <w:rPr>
                <w:rFonts w:ascii="Arial" w:hAnsi="Arial" w:cs="Arial"/>
                <w:szCs w:val="24"/>
              </w:rPr>
              <w:t>Not applicable</w:t>
            </w:r>
          </w:p>
        </w:tc>
      </w:tr>
    </w:tbl>
    <w:p w:rsidR="00B61958" w:rsidRPr="00B0269E" w:rsidRDefault="00B61958" w:rsidP="00B61958">
      <w:pPr>
        <w:jc w:val="both"/>
        <w:rPr>
          <w:rFonts w:ascii="Arial" w:hAnsi="Arial" w:cs="Arial"/>
          <w:szCs w:val="32"/>
        </w:rPr>
      </w:pPr>
    </w:p>
    <w:p w:rsidR="00B61958" w:rsidRPr="00B0269E" w:rsidRDefault="00B61958" w:rsidP="00B61958">
      <w:pPr>
        <w:jc w:val="both"/>
        <w:rPr>
          <w:rFonts w:ascii="Arial" w:hAnsi="Arial" w:cs="Arial"/>
          <w:b/>
          <w:sz w:val="28"/>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Executive Summary</w:t>
      </w:r>
    </w:p>
    <w:p w:rsidR="00B61958" w:rsidRPr="00B0269E" w:rsidRDefault="00B61958" w:rsidP="00B61958">
      <w:pPr>
        <w:jc w:val="both"/>
        <w:rPr>
          <w:rFonts w:ascii="Arial" w:hAnsi="Arial" w:cs="Arial"/>
          <w:b/>
          <w:szCs w:val="32"/>
          <w:lang w:val="en-US"/>
        </w:rPr>
      </w:pPr>
    </w:p>
    <w:p w:rsidR="00B61958" w:rsidRDefault="00B61958" w:rsidP="00B61958">
      <w:pPr>
        <w:jc w:val="both"/>
        <w:rPr>
          <w:rFonts w:ascii="Arial" w:hAnsi="Arial" w:cs="Arial"/>
          <w:szCs w:val="32"/>
          <w:lang w:val="en-US"/>
        </w:rPr>
      </w:pPr>
      <w:r w:rsidRPr="00B0269E">
        <w:rPr>
          <w:rFonts w:ascii="Arial" w:hAnsi="Arial" w:cs="Arial"/>
          <w:szCs w:val="32"/>
          <w:lang w:val="en-US"/>
        </w:rPr>
        <w:t>The Annual Report for the year ended 30 June 201</w:t>
      </w:r>
      <w:r>
        <w:rPr>
          <w:rFonts w:ascii="Arial" w:hAnsi="Arial" w:cs="Arial"/>
          <w:szCs w:val="32"/>
          <w:lang w:val="en-US"/>
        </w:rPr>
        <w:t xml:space="preserve">4 </w:t>
      </w:r>
      <w:r w:rsidRPr="00B0269E">
        <w:rPr>
          <w:rFonts w:ascii="Arial" w:hAnsi="Arial" w:cs="Arial"/>
          <w:szCs w:val="32"/>
          <w:lang w:val="en-US"/>
        </w:rPr>
        <w:t>is presented to</w:t>
      </w:r>
      <w:r>
        <w:rPr>
          <w:rFonts w:ascii="Arial" w:hAnsi="Arial" w:cs="Arial"/>
          <w:szCs w:val="32"/>
          <w:lang w:val="en-US"/>
        </w:rPr>
        <w:t xml:space="preserve"> </w:t>
      </w:r>
      <w:r w:rsidRPr="00B0269E">
        <w:rPr>
          <w:rFonts w:ascii="Arial" w:hAnsi="Arial" w:cs="Arial"/>
          <w:szCs w:val="32"/>
          <w:lang w:val="en-US"/>
        </w:rPr>
        <w:t>Council for acceptance.</w:t>
      </w:r>
      <w:r>
        <w:rPr>
          <w:rFonts w:ascii="Arial" w:hAnsi="Arial" w:cs="Arial"/>
          <w:szCs w:val="32"/>
          <w:lang w:val="en-US"/>
        </w:rPr>
        <w:t xml:space="preserve">  The Annual report is presented in two parts, being the Annual Report which includes a summary of income and expenditure and a Financial Report, which includes a full set of audited annual financial statements and the Independent Auditor’s report.</w:t>
      </w:r>
    </w:p>
    <w:p w:rsidR="00B61958"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B0269E">
        <w:rPr>
          <w:rFonts w:ascii="Arial" w:hAnsi="Arial" w:cs="Arial"/>
          <w:szCs w:val="32"/>
          <w:lang w:val="en-US"/>
        </w:rPr>
        <w:t>Once formally received and accepted by Council, the</w:t>
      </w:r>
      <w:r>
        <w:rPr>
          <w:rFonts w:ascii="Arial" w:hAnsi="Arial" w:cs="Arial"/>
          <w:szCs w:val="32"/>
          <w:lang w:val="en-US"/>
        </w:rPr>
        <w:t xml:space="preserve"> </w:t>
      </w:r>
      <w:r w:rsidRPr="00B0269E">
        <w:rPr>
          <w:rFonts w:ascii="Arial" w:hAnsi="Arial" w:cs="Arial"/>
          <w:szCs w:val="32"/>
          <w:lang w:val="en-US"/>
        </w:rPr>
        <w:t xml:space="preserve">Annual Report </w:t>
      </w:r>
      <w:r>
        <w:rPr>
          <w:rFonts w:ascii="Arial" w:hAnsi="Arial" w:cs="Arial"/>
          <w:szCs w:val="32"/>
          <w:lang w:val="en-US"/>
        </w:rPr>
        <w:t xml:space="preserve">can </w:t>
      </w:r>
      <w:r w:rsidRPr="00B0269E">
        <w:rPr>
          <w:rFonts w:ascii="Arial" w:hAnsi="Arial" w:cs="Arial"/>
          <w:szCs w:val="32"/>
          <w:lang w:val="en-US"/>
        </w:rPr>
        <w:t>be referred for discussion at the Annual Electors’ Meeting.</w:t>
      </w:r>
    </w:p>
    <w:p w:rsidR="00B61958"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 xml:space="preserve">Recommendation to </w:t>
      </w:r>
      <w:r w:rsidRPr="00B0269E">
        <w:rPr>
          <w:rFonts w:ascii="Arial" w:hAnsi="Arial" w:cs="Arial"/>
          <w:b/>
          <w:sz w:val="28"/>
          <w:szCs w:val="32"/>
        </w:rPr>
        <w:t>Committee or Council</w:t>
      </w:r>
    </w:p>
    <w:p w:rsidR="00B61958" w:rsidRPr="00B0269E" w:rsidRDefault="00B61958" w:rsidP="00B61958">
      <w:pPr>
        <w:jc w:val="both"/>
        <w:rPr>
          <w:rFonts w:ascii="Arial" w:hAnsi="Arial" w:cs="Arial"/>
          <w:b/>
          <w:szCs w:val="32"/>
          <w:lang w:val="en-US"/>
        </w:rPr>
      </w:pPr>
    </w:p>
    <w:p w:rsidR="00B61958" w:rsidRDefault="00B61958" w:rsidP="00B61958">
      <w:pPr>
        <w:jc w:val="both"/>
        <w:rPr>
          <w:rFonts w:ascii="Arial" w:hAnsi="Arial" w:cs="Arial"/>
          <w:b/>
          <w:szCs w:val="32"/>
          <w:lang w:val="en-US"/>
        </w:rPr>
      </w:pPr>
      <w:r w:rsidRPr="00B0269E">
        <w:rPr>
          <w:rFonts w:ascii="Arial" w:hAnsi="Arial" w:cs="Arial"/>
          <w:b/>
          <w:szCs w:val="32"/>
          <w:lang w:val="en-US"/>
        </w:rPr>
        <w:t>Council</w:t>
      </w:r>
      <w:r>
        <w:rPr>
          <w:rFonts w:ascii="Arial" w:hAnsi="Arial" w:cs="Arial"/>
          <w:b/>
          <w:szCs w:val="32"/>
          <w:lang w:val="en-US"/>
        </w:rPr>
        <w:t>:</w:t>
      </w:r>
    </w:p>
    <w:p w:rsidR="00B61958" w:rsidRPr="00B0269E" w:rsidRDefault="00B61958" w:rsidP="00B61958">
      <w:pPr>
        <w:jc w:val="both"/>
        <w:rPr>
          <w:rFonts w:ascii="Arial" w:hAnsi="Arial" w:cs="Arial"/>
          <w:b/>
          <w:szCs w:val="32"/>
          <w:lang w:val="en-US"/>
        </w:rPr>
      </w:pPr>
    </w:p>
    <w:p w:rsidR="00B61958" w:rsidRPr="00B0269E" w:rsidRDefault="00B61958" w:rsidP="006866B4">
      <w:pPr>
        <w:pStyle w:val="ListParagraph"/>
        <w:numPr>
          <w:ilvl w:val="0"/>
          <w:numId w:val="6"/>
        </w:numPr>
        <w:spacing w:after="0" w:line="240" w:lineRule="auto"/>
        <w:jc w:val="both"/>
        <w:rPr>
          <w:rFonts w:ascii="Arial" w:hAnsi="Arial" w:cs="Arial"/>
          <w:b/>
          <w:sz w:val="24"/>
          <w:szCs w:val="32"/>
          <w:lang w:val="en-US"/>
        </w:rPr>
      </w:pPr>
      <w:r w:rsidRPr="00B0269E">
        <w:rPr>
          <w:rFonts w:ascii="Arial" w:hAnsi="Arial" w:cs="Arial"/>
          <w:b/>
          <w:sz w:val="24"/>
          <w:szCs w:val="32"/>
          <w:lang w:val="en-US"/>
        </w:rPr>
        <w:t>accepts the annual report of the City of Nedlands for the Year ended 30 June 201</w:t>
      </w:r>
      <w:r>
        <w:rPr>
          <w:rFonts w:ascii="Arial" w:hAnsi="Arial" w:cs="Arial"/>
          <w:b/>
          <w:sz w:val="24"/>
          <w:szCs w:val="32"/>
          <w:lang w:val="en-US"/>
        </w:rPr>
        <w:t xml:space="preserve">4, </w:t>
      </w:r>
      <w:r w:rsidRPr="00B0269E">
        <w:rPr>
          <w:rFonts w:ascii="Arial" w:hAnsi="Arial" w:cs="Arial"/>
          <w:b/>
          <w:sz w:val="24"/>
          <w:szCs w:val="32"/>
          <w:lang w:val="en-US"/>
        </w:rPr>
        <w:t>in accordance with the provisions of Section 5.54 of the Local Government Act 1995,</w:t>
      </w:r>
      <w:r>
        <w:rPr>
          <w:rFonts w:ascii="Arial" w:hAnsi="Arial" w:cs="Arial"/>
          <w:b/>
          <w:sz w:val="24"/>
          <w:szCs w:val="32"/>
          <w:lang w:val="en-US"/>
        </w:rPr>
        <w:t xml:space="preserve"> and</w:t>
      </w:r>
    </w:p>
    <w:p w:rsidR="00B61958" w:rsidRDefault="00B61958" w:rsidP="00B61958">
      <w:pPr>
        <w:jc w:val="both"/>
        <w:rPr>
          <w:rFonts w:ascii="Arial" w:hAnsi="Arial" w:cs="Arial"/>
          <w:b/>
          <w:szCs w:val="32"/>
          <w:lang w:val="en-US"/>
        </w:rPr>
      </w:pPr>
    </w:p>
    <w:p w:rsidR="00B61958" w:rsidRPr="00B0269E" w:rsidRDefault="00B61958" w:rsidP="006866B4">
      <w:pPr>
        <w:pStyle w:val="ListParagraph"/>
        <w:numPr>
          <w:ilvl w:val="0"/>
          <w:numId w:val="6"/>
        </w:numPr>
        <w:spacing w:after="0" w:line="240" w:lineRule="auto"/>
        <w:jc w:val="both"/>
        <w:rPr>
          <w:rFonts w:ascii="Arial" w:hAnsi="Arial" w:cs="Arial"/>
          <w:b/>
          <w:sz w:val="24"/>
          <w:szCs w:val="32"/>
          <w:lang w:val="en-US"/>
        </w:rPr>
      </w:pPr>
      <w:r w:rsidRPr="00B0269E">
        <w:rPr>
          <w:rFonts w:ascii="Arial" w:hAnsi="Arial" w:cs="Arial"/>
          <w:b/>
          <w:sz w:val="24"/>
          <w:szCs w:val="32"/>
          <w:lang w:val="en-US"/>
        </w:rPr>
        <w:t>refers the Annual Report for the year ended 30 June 201</w:t>
      </w:r>
      <w:r>
        <w:rPr>
          <w:rFonts w:ascii="Arial" w:hAnsi="Arial" w:cs="Arial"/>
          <w:b/>
          <w:sz w:val="24"/>
          <w:szCs w:val="32"/>
          <w:lang w:val="en-US"/>
        </w:rPr>
        <w:t>4</w:t>
      </w:r>
      <w:r w:rsidRPr="00B0269E">
        <w:rPr>
          <w:rFonts w:ascii="Arial" w:hAnsi="Arial" w:cs="Arial"/>
          <w:b/>
          <w:sz w:val="24"/>
          <w:szCs w:val="32"/>
          <w:lang w:val="en-US"/>
        </w:rPr>
        <w:t xml:space="preserve"> to the Annual General Meeting of Electors of the City of Nedlands to be held at 6:00pm, T</w:t>
      </w:r>
      <w:r>
        <w:rPr>
          <w:rFonts w:ascii="Arial" w:hAnsi="Arial" w:cs="Arial"/>
          <w:b/>
          <w:sz w:val="24"/>
          <w:szCs w:val="32"/>
          <w:lang w:val="en-US"/>
        </w:rPr>
        <w:t>hursday 18</w:t>
      </w:r>
      <w:r w:rsidRPr="00B0269E">
        <w:rPr>
          <w:rFonts w:ascii="Arial" w:hAnsi="Arial" w:cs="Arial"/>
          <w:b/>
          <w:sz w:val="24"/>
          <w:szCs w:val="32"/>
          <w:lang w:val="en-US"/>
        </w:rPr>
        <w:t xml:space="preserve"> December 201</w:t>
      </w:r>
      <w:r>
        <w:rPr>
          <w:rFonts w:ascii="Arial" w:hAnsi="Arial" w:cs="Arial"/>
          <w:b/>
          <w:sz w:val="24"/>
          <w:szCs w:val="32"/>
          <w:lang w:val="en-US"/>
        </w:rPr>
        <w:t>4</w:t>
      </w:r>
      <w:r w:rsidRPr="00B0269E">
        <w:rPr>
          <w:rFonts w:ascii="Arial" w:hAnsi="Arial" w:cs="Arial"/>
          <w:b/>
          <w:sz w:val="24"/>
          <w:szCs w:val="32"/>
          <w:lang w:val="en-US"/>
        </w:rPr>
        <w:t xml:space="preserve"> in the Council Chambers.</w:t>
      </w:r>
    </w:p>
    <w:p w:rsidR="00B61958" w:rsidRPr="00B0269E" w:rsidRDefault="00B61958" w:rsidP="00B61958">
      <w:pPr>
        <w:jc w:val="both"/>
        <w:rPr>
          <w:rFonts w:ascii="Arial" w:hAnsi="Arial" w:cs="Arial"/>
          <w:b/>
          <w:szCs w:val="32"/>
          <w:lang w:val="en-US"/>
        </w:rPr>
      </w:pPr>
    </w:p>
    <w:p w:rsidR="006866B4" w:rsidRDefault="006866B4" w:rsidP="00B61958">
      <w:pPr>
        <w:jc w:val="both"/>
        <w:rPr>
          <w:rFonts w:ascii="Arial" w:hAnsi="Arial" w:cs="Arial"/>
          <w:b/>
          <w:sz w:val="28"/>
          <w:szCs w:val="32"/>
          <w:lang w:val="en-US"/>
        </w:rPr>
      </w:pPr>
      <w:bookmarkStart w:id="14" w:name="OLE_LINK1"/>
      <w:bookmarkStart w:id="15" w:name="OLE_LINK2"/>
    </w:p>
    <w:p w:rsidR="006866B4" w:rsidRDefault="006866B4" w:rsidP="00B61958">
      <w:pPr>
        <w:jc w:val="both"/>
        <w:rPr>
          <w:rFonts w:ascii="Arial" w:hAnsi="Arial" w:cs="Arial"/>
          <w:b/>
          <w:sz w:val="28"/>
          <w:szCs w:val="32"/>
          <w:lang w:val="en-US"/>
        </w:rPr>
      </w:pPr>
    </w:p>
    <w:p w:rsidR="00450229" w:rsidRDefault="00450229" w:rsidP="00B61958">
      <w:pPr>
        <w:jc w:val="both"/>
        <w:rPr>
          <w:rFonts w:ascii="Arial" w:hAnsi="Arial" w:cs="Arial"/>
          <w:b/>
          <w:sz w:val="28"/>
          <w:szCs w:val="32"/>
          <w:lang w:val="en-US"/>
        </w:rPr>
      </w:pPr>
    </w:p>
    <w:p w:rsidR="006866B4" w:rsidRDefault="006866B4" w:rsidP="00B61958">
      <w:pPr>
        <w:jc w:val="both"/>
        <w:rPr>
          <w:rFonts w:ascii="Arial" w:hAnsi="Arial" w:cs="Arial"/>
          <w:b/>
          <w:sz w:val="28"/>
          <w:szCs w:val="32"/>
          <w:lang w:val="en-US"/>
        </w:rPr>
      </w:pPr>
    </w:p>
    <w:p w:rsidR="006866B4" w:rsidRDefault="006866B4" w:rsidP="00B61958">
      <w:pPr>
        <w:jc w:val="both"/>
        <w:rPr>
          <w:rFonts w:ascii="Arial" w:hAnsi="Arial" w:cs="Arial"/>
          <w:b/>
          <w:sz w:val="28"/>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Strategic Plan</w:t>
      </w:r>
    </w:p>
    <w:p w:rsidR="00B61958" w:rsidRPr="00B0269E" w:rsidRDefault="00B61958" w:rsidP="00B61958">
      <w:pPr>
        <w:jc w:val="both"/>
        <w:rPr>
          <w:rFonts w:ascii="Arial" w:hAnsi="Arial" w:cs="Arial"/>
          <w:b/>
          <w:szCs w:val="32"/>
          <w:lang w:val="en-US"/>
        </w:rPr>
      </w:pPr>
    </w:p>
    <w:bookmarkEnd w:id="14"/>
    <w:bookmarkEnd w:id="15"/>
    <w:p w:rsidR="00B61958" w:rsidRPr="00B0269E" w:rsidRDefault="00B61958" w:rsidP="00B61958">
      <w:pPr>
        <w:jc w:val="both"/>
        <w:rPr>
          <w:rFonts w:ascii="Arial" w:hAnsi="Arial" w:cs="Arial"/>
          <w:b/>
          <w:szCs w:val="32"/>
          <w:lang w:val="en-US"/>
        </w:rPr>
      </w:pPr>
      <w:r w:rsidRPr="00B0269E">
        <w:rPr>
          <w:rFonts w:ascii="Arial" w:hAnsi="Arial" w:cs="Arial"/>
          <w:szCs w:val="32"/>
          <w:lang w:val="en-US"/>
        </w:rPr>
        <w:t>KFA:</w:t>
      </w:r>
      <w:r w:rsidRPr="00B0269E">
        <w:rPr>
          <w:rFonts w:ascii="Arial" w:hAnsi="Arial" w:cs="Arial"/>
          <w:szCs w:val="32"/>
          <w:lang w:val="en-US"/>
        </w:rPr>
        <w:tab/>
        <w:t>Governance and Civic Leadership</w:t>
      </w:r>
    </w:p>
    <w:p w:rsidR="00B61958" w:rsidRPr="00B0269E" w:rsidRDefault="00B61958" w:rsidP="00B61958">
      <w:pPr>
        <w:jc w:val="both"/>
        <w:rPr>
          <w:rFonts w:ascii="Arial" w:hAnsi="Arial" w:cs="Arial"/>
          <w:b/>
          <w:szCs w:val="32"/>
          <w:lang w:val="en-US"/>
        </w:rPr>
      </w:pPr>
    </w:p>
    <w:p w:rsidR="00B61958" w:rsidRDefault="00B61958" w:rsidP="00B61958">
      <w:pPr>
        <w:jc w:val="both"/>
        <w:rPr>
          <w:rFonts w:ascii="Arial" w:hAnsi="Arial" w:cs="Arial"/>
          <w:szCs w:val="24"/>
        </w:rPr>
      </w:pPr>
      <w:r w:rsidRPr="00B0269E">
        <w:rPr>
          <w:rFonts w:ascii="Arial" w:hAnsi="Arial" w:cs="Arial"/>
          <w:szCs w:val="24"/>
        </w:rPr>
        <w:t>The report enables Council to assess compliance with the relevant statutory</w:t>
      </w:r>
      <w:r>
        <w:rPr>
          <w:rFonts w:ascii="Arial" w:hAnsi="Arial" w:cs="Arial"/>
          <w:szCs w:val="24"/>
        </w:rPr>
        <w:t xml:space="preserve"> </w:t>
      </w:r>
      <w:r w:rsidRPr="00B0269E">
        <w:rPr>
          <w:rFonts w:ascii="Arial" w:hAnsi="Arial" w:cs="Arial"/>
          <w:szCs w:val="24"/>
        </w:rPr>
        <w:t>obligations and the financial performance of the City.</w:t>
      </w:r>
    </w:p>
    <w:p w:rsidR="00B61958" w:rsidRPr="00B0269E" w:rsidRDefault="00B61958" w:rsidP="00B61958">
      <w:pPr>
        <w:jc w:val="both"/>
        <w:rPr>
          <w:rFonts w:ascii="Arial" w:hAnsi="Arial" w:cs="Arial"/>
          <w:b/>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Background</w:t>
      </w:r>
    </w:p>
    <w:p w:rsidR="00B61958" w:rsidRPr="00B0269E"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9D2E8C">
        <w:rPr>
          <w:rFonts w:ascii="Arial" w:hAnsi="Arial" w:cs="Arial"/>
          <w:szCs w:val="32"/>
          <w:lang w:val="en-US"/>
        </w:rPr>
        <w:t>Section 5.53 of the Local Government Act 1995 requires a Local</w:t>
      </w:r>
      <w:r>
        <w:rPr>
          <w:rFonts w:ascii="Arial" w:hAnsi="Arial" w:cs="Arial"/>
          <w:szCs w:val="32"/>
          <w:lang w:val="en-US"/>
        </w:rPr>
        <w:t xml:space="preserve"> </w:t>
      </w:r>
      <w:r w:rsidRPr="009D2E8C">
        <w:rPr>
          <w:rFonts w:ascii="Arial" w:hAnsi="Arial" w:cs="Arial"/>
          <w:szCs w:val="32"/>
          <w:lang w:val="en-US"/>
        </w:rPr>
        <w:t>Government to prepare an Annual Report for each financial year. The Annual</w:t>
      </w:r>
      <w:r>
        <w:rPr>
          <w:rFonts w:ascii="Arial" w:hAnsi="Arial" w:cs="Arial"/>
          <w:szCs w:val="32"/>
          <w:lang w:val="en-US"/>
        </w:rPr>
        <w:t xml:space="preserve"> </w:t>
      </w:r>
      <w:r w:rsidRPr="009D2E8C">
        <w:rPr>
          <w:rFonts w:ascii="Arial" w:hAnsi="Arial" w:cs="Arial"/>
          <w:szCs w:val="32"/>
          <w:lang w:val="en-US"/>
        </w:rPr>
        <w:t>Report is to contain a report from the Mayor, a report from the Chief Executive</w:t>
      </w:r>
      <w:r>
        <w:rPr>
          <w:rFonts w:ascii="Arial" w:hAnsi="Arial" w:cs="Arial"/>
          <w:szCs w:val="32"/>
          <w:lang w:val="en-US"/>
        </w:rPr>
        <w:t xml:space="preserve"> </w:t>
      </w:r>
      <w:r w:rsidRPr="009D2E8C">
        <w:rPr>
          <w:rFonts w:ascii="Arial" w:hAnsi="Arial" w:cs="Arial"/>
          <w:szCs w:val="32"/>
          <w:lang w:val="en-US"/>
        </w:rPr>
        <w:t>Officer, the Financial Report for the Financial Year, the Auditor’s Report for</w:t>
      </w:r>
      <w:r>
        <w:rPr>
          <w:rFonts w:ascii="Arial" w:hAnsi="Arial" w:cs="Arial"/>
          <w:szCs w:val="32"/>
          <w:lang w:val="en-US"/>
        </w:rPr>
        <w:t xml:space="preserve"> </w:t>
      </w:r>
      <w:r w:rsidRPr="009D2E8C">
        <w:rPr>
          <w:rFonts w:ascii="Arial" w:hAnsi="Arial" w:cs="Arial"/>
          <w:szCs w:val="32"/>
          <w:lang w:val="en-US"/>
        </w:rPr>
        <w:t>the Financial Year, a number of other matters in relation to principal activities</w:t>
      </w:r>
      <w:r>
        <w:rPr>
          <w:rFonts w:ascii="Arial" w:hAnsi="Arial" w:cs="Arial"/>
          <w:szCs w:val="32"/>
          <w:lang w:val="en-US"/>
        </w:rPr>
        <w:t xml:space="preserve"> </w:t>
      </w:r>
      <w:r w:rsidRPr="009D2E8C">
        <w:rPr>
          <w:rFonts w:ascii="Arial" w:hAnsi="Arial" w:cs="Arial"/>
          <w:szCs w:val="32"/>
          <w:lang w:val="en-US"/>
        </w:rPr>
        <w:t>and such other information as may be prescribed.</w:t>
      </w:r>
    </w:p>
    <w:p w:rsidR="00B61958"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9D2E8C">
        <w:rPr>
          <w:rFonts w:ascii="Arial" w:hAnsi="Arial" w:cs="Arial"/>
          <w:szCs w:val="32"/>
          <w:lang w:val="en-US"/>
        </w:rPr>
        <w:t>Attached is the Annual Report for the year ended 30 June</w:t>
      </w:r>
      <w:r>
        <w:rPr>
          <w:rFonts w:ascii="Arial" w:hAnsi="Arial" w:cs="Arial"/>
          <w:szCs w:val="32"/>
          <w:lang w:val="en-US"/>
        </w:rPr>
        <w:t xml:space="preserve"> </w:t>
      </w:r>
      <w:r w:rsidRPr="009D2E8C">
        <w:rPr>
          <w:rFonts w:ascii="Arial" w:hAnsi="Arial" w:cs="Arial"/>
          <w:szCs w:val="32"/>
          <w:lang w:val="en-US"/>
        </w:rPr>
        <w:t>201</w:t>
      </w:r>
      <w:r>
        <w:rPr>
          <w:rFonts w:ascii="Arial" w:hAnsi="Arial" w:cs="Arial"/>
          <w:szCs w:val="32"/>
          <w:lang w:val="en-US"/>
        </w:rPr>
        <w:t>4</w:t>
      </w:r>
      <w:r w:rsidRPr="009D2E8C">
        <w:rPr>
          <w:rFonts w:ascii="Arial" w:hAnsi="Arial" w:cs="Arial"/>
          <w:szCs w:val="32"/>
          <w:lang w:val="en-US"/>
        </w:rPr>
        <w:t>, including the Financial Report and Independent Auditor’s Report. The</w:t>
      </w:r>
      <w:r>
        <w:rPr>
          <w:rFonts w:ascii="Arial" w:hAnsi="Arial" w:cs="Arial"/>
          <w:szCs w:val="32"/>
          <w:lang w:val="en-US"/>
        </w:rPr>
        <w:t xml:space="preserve"> </w:t>
      </w:r>
      <w:r w:rsidRPr="009D2E8C">
        <w:rPr>
          <w:rFonts w:ascii="Arial" w:hAnsi="Arial" w:cs="Arial"/>
          <w:szCs w:val="32"/>
          <w:lang w:val="en-US"/>
        </w:rPr>
        <w:t>Financial Report comprising the Accounts for the year ended 30 June 201</w:t>
      </w:r>
      <w:r>
        <w:rPr>
          <w:rFonts w:ascii="Arial" w:hAnsi="Arial" w:cs="Arial"/>
          <w:szCs w:val="32"/>
          <w:lang w:val="en-US"/>
        </w:rPr>
        <w:t xml:space="preserve">4 </w:t>
      </w:r>
      <w:r w:rsidRPr="009D2E8C">
        <w:rPr>
          <w:rFonts w:ascii="Arial" w:hAnsi="Arial" w:cs="Arial"/>
          <w:szCs w:val="32"/>
          <w:lang w:val="en-US"/>
        </w:rPr>
        <w:t>was completed and submitted to Council’s Auditor Macri Partners who</w:t>
      </w:r>
      <w:r>
        <w:rPr>
          <w:rFonts w:ascii="Arial" w:hAnsi="Arial" w:cs="Arial"/>
          <w:szCs w:val="32"/>
          <w:lang w:val="en-US"/>
        </w:rPr>
        <w:t xml:space="preserve"> </w:t>
      </w:r>
      <w:r w:rsidRPr="009D2E8C">
        <w:rPr>
          <w:rFonts w:ascii="Arial" w:hAnsi="Arial" w:cs="Arial"/>
          <w:szCs w:val="32"/>
          <w:lang w:val="en-US"/>
        </w:rPr>
        <w:t>completed their audit in September 201</w:t>
      </w:r>
      <w:r>
        <w:rPr>
          <w:rFonts w:ascii="Arial" w:hAnsi="Arial" w:cs="Arial"/>
          <w:szCs w:val="32"/>
          <w:lang w:val="en-US"/>
        </w:rPr>
        <w:t>4</w:t>
      </w:r>
      <w:r w:rsidRPr="009D2E8C">
        <w:rPr>
          <w:rFonts w:ascii="Arial" w:hAnsi="Arial" w:cs="Arial"/>
          <w:szCs w:val="32"/>
          <w:lang w:val="en-US"/>
        </w:rPr>
        <w:t>.</w:t>
      </w:r>
    </w:p>
    <w:p w:rsidR="00B61958"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Pr>
          <w:rFonts w:ascii="Arial" w:hAnsi="Arial" w:cs="Arial"/>
          <w:szCs w:val="32"/>
          <w:lang w:val="en-US"/>
        </w:rPr>
        <w:t>O</w:t>
      </w:r>
      <w:r w:rsidRPr="009D2E8C">
        <w:rPr>
          <w:rFonts w:ascii="Arial" w:hAnsi="Arial" w:cs="Arial"/>
          <w:szCs w:val="32"/>
          <w:lang w:val="en-US"/>
        </w:rPr>
        <w:t>nce received and accepted Council is then required by Section 5.27 of the</w:t>
      </w:r>
      <w:r>
        <w:rPr>
          <w:rFonts w:ascii="Arial" w:hAnsi="Arial" w:cs="Arial"/>
          <w:szCs w:val="32"/>
          <w:lang w:val="en-US"/>
        </w:rPr>
        <w:t xml:space="preserve"> </w:t>
      </w:r>
      <w:r w:rsidRPr="009D2E8C">
        <w:rPr>
          <w:rFonts w:ascii="Arial" w:hAnsi="Arial" w:cs="Arial"/>
          <w:szCs w:val="32"/>
          <w:lang w:val="en-US"/>
        </w:rPr>
        <w:t>Local Government Act of 1995 to hold a General Meeting of Electors once</w:t>
      </w:r>
      <w:r>
        <w:rPr>
          <w:rFonts w:ascii="Arial" w:hAnsi="Arial" w:cs="Arial"/>
          <w:szCs w:val="32"/>
          <w:lang w:val="en-US"/>
        </w:rPr>
        <w:t xml:space="preserve"> </w:t>
      </w:r>
      <w:r w:rsidRPr="009D2E8C">
        <w:rPr>
          <w:rFonts w:ascii="Arial" w:hAnsi="Arial" w:cs="Arial"/>
          <w:szCs w:val="32"/>
          <w:lang w:val="en-US"/>
        </w:rPr>
        <w:t>every financial year to discuss the contents of the Annual Report for the</w:t>
      </w:r>
      <w:r>
        <w:rPr>
          <w:rFonts w:ascii="Arial" w:hAnsi="Arial" w:cs="Arial"/>
          <w:szCs w:val="32"/>
          <w:lang w:val="en-US"/>
        </w:rPr>
        <w:t xml:space="preserve"> </w:t>
      </w:r>
      <w:r w:rsidRPr="009D2E8C">
        <w:rPr>
          <w:rFonts w:ascii="Arial" w:hAnsi="Arial" w:cs="Arial"/>
          <w:szCs w:val="32"/>
          <w:lang w:val="en-US"/>
        </w:rPr>
        <w:t>previous financial year and any other general business.</w:t>
      </w:r>
    </w:p>
    <w:p w:rsidR="00B61958"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Cs w:val="32"/>
          <w:lang w:val="en-US"/>
        </w:rPr>
      </w:pPr>
      <w:r w:rsidRPr="00B0269E">
        <w:rPr>
          <w:rFonts w:ascii="Arial" w:hAnsi="Arial" w:cs="Arial"/>
          <w:b/>
          <w:szCs w:val="32"/>
          <w:lang w:val="en-US"/>
        </w:rPr>
        <w:t>Key Relevant Previous Council Decisions:</w:t>
      </w:r>
    </w:p>
    <w:p w:rsidR="00B61958" w:rsidRPr="00B0269E"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szCs w:val="32"/>
          <w:lang w:val="en-US"/>
        </w:rPr>
      </w:pPr>
      <w:r>
        <w:rPr>
          <w:rFonts w:ascii="Arial" w:hAnsi="Arial" w:cs="Arial"/>
          <w:szCs w:val="32"/>
          <w:lang w:val="en-US"/>
        </w:rPr>
        <w:t xml:space="preserve">Not applicable. </w:t>
      </w:r>
    </w:p>
    <w:p w:rsidR="00B61958" w:rsidRPr="00B0269E"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Consultation</w:t>
      </w:r>
    </w:p>
    <w:p w:rsidR="00B61958" w:rsidRPr="00B0269E" w:rsidRDefault="00B61958" w:rsidP="00B61958">
      <w:pPr>
        <w:jc w:val="both"/>
        <w:rPr>
          <w:rFonts w:ascii="Arial" w:hAnsi="Arial" w:cs="Arial"/>
          <w:b/>
          <w:szCs w:val="32"/>
          <w:lang w:val="en-US"/>
        </w:rPr>
      </w:pPr>
    </w:p>
    <w:p w:rsidR="00B61958" w:rsidRPr="00B0269E" w:rsidRDefault="00B61958" w:rsidP="00B61958">
      <w:pPr>
        <w:jc w:val="both"/>
        <w:rPr>
          <w:rFonts w:ascii="Arial" w:hAnsi="Arial" w:cs="Arial"/>
          <w:szCs w:val="32"/>
          <w:lang w:val="en-US"/>
        </w:rPr>
      </w:pPr>
      <w:r w:rsidRPr="00B0269E">
        <w:rPr>
          <w:rFonts w:ascii="Arial" w:hAnsi="Arial" w:cs="Arial"/>
          <w:szCs w:val="32"/>
          <w:lang w:val="en-US"/>
        </w:rPr>
        <w:t>Required by legislation:</w:t>
      </w:r>
      <w:r w:rsidRPr="00B0269E">
        <w:rPr>
          <w:rFonts w:ascii="Arial" w:hAnsi="Arial" w:cs="Arial"/>
          <w:szCs w:val="32"/>
          <w:lang w:val="en-US"/>
        </w:rPr>
        <w:tab/>
      </w:r>
      <w:r w:rsidRPr="00B0269E">
        <w:rPr>
          <w:rFonts w:ascii="Arial" w:hAnsi="Arial" w:cs="Arial"/>
          <w:szCs w:val="32"/>
          <w:lang w:val="en-US"/>
        </w:rPr>
        <w:tab/>
      </w:r>
      <w:r w:rsidRPr="00B0269E">
        <w:rPr>
          <w:rFonts w:ascii="Arial" w:hAnsi="Arial" w:cs="Arial"/>
          <w:szCs w:val="32"/>
          <w:lang w:val="en-US"/>
        </w:rPr>
        <w:tab/>
      </w:r>
      <w:r w:rsidRPr="00B0269E">
        <w:rPr>
          <w:rFonts w:ascii="Arial" w:hAnsi="Arial" w:cs="Arial"/>
          <w:szCs w:val="32"/>
          <w:lang w:val="en-US"/>
        </w:rPr>
        <w:tab/>
        <w:t xml:space="preserve">Yes </w:t>
      </w:r>
      <w:r w:rsidRPr="00B0269E">
        <w:rPr>
          <w:rFonts w:ascii="Arial" w:hAnsi="Arial" w:cs="Arial"/>
          <w:szCs w:val="32"/>
          <w:lang w:val="en-US"/>
        </w:rPr>
        <w:fldChar w:fldCharType="begin">
          <w:ffData>
            <w:name w:val="Check1"/>
            <w:enabled/>
            <w:calcOnExit w:val="0"/>
            <w:checkBox>
              <w:sizeAuto/>
              <w:default w:val="0"/>
            </w:checkBox>
          </w:ffData>
        </w:fldChar>
      </w:r>
      <w:bookmarkStart w:id="16" w:name="Check1"/>
      <w:r w:rsidRPr="00B0269E">
        <w:rPr>
          <w:rFonts w:ascii="Arial" w:hAnsi="Arial" w:cs="Arial"/>
          <w:szCs w:val="32"/>
          <w:lang w:val="en-US"/>
        </w:rPr>
        <w:instrText xml:space="preserve"> FORMCHECKBOX </w:instrText>
      </w:r>
      <w:r w:rsidR="004B03F0">
        <w:rPr>
          <w:rFonts w:ascii="Arial" w:hAnsi="Arial" w:cs="Arial"/>
          <w:szCs w:val="32"/>
          <w:lang w:val="en-US"/>
        </w:rPr>
      </w:r>
      <w:r w:rsidR="004B03F0">
        <w:rPr>
          <w:rFonts w:ascii="Arial" w:hAnsi="Arial" w:cs="Arial"/>
          <w:szCs w:val="32"/>
          <w:lang w:val="en-US"/>
        </w:rPr>
        <w:fldChar w:fldCharType="separate"/>
      </w:r>
      <w:r w:rsidRPr="00B0269E">
        <w:rPr>
          <w:rFonts w:ascii="Arial" w:hAnsi="Arial" w:cs="Arial"/>
          <w:szCs w:val="32"/>
        </w:rPr>
        <w:fldChar w:fldCharType="end"/>
      </w:r>
      <w:bookmarkEnd w:id="16"/>
      <w:r w:rsidRPr="00B0269E">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4B03F0">
        <w:rPr>
          <w:rFonts w:ascii="Arial" w:hAnsi="Arial" w:cs="Arial"/>
          <w:szCs w:val="32"/>
          <w:lang w:val="en-US"/>
        </w:rPr>
      </w:r>
      <w:r w:rsidR="004B03F0">
        <w:rPr>
          <w:rFonts w:ascii="Arial" w:hAnsi="Arial" w:cs="Arial"/>
          <w:szCs w:val="32"/>
          <w:lang w:val="en-US"/>
        </w:rPr>
        <w:fldChar w:fldCharType="separate"/>
      </w:r>
      <w:r>
        <w:rPr>
          <w:rFonts w:ascii="Arial" w:hAnsi="Arial" w:cs="Arial"/>
          <w:szCs w:val="32"/>
          <w:lang w:val="en-US"/>
        </w:rPr>
        <w:fldChar w:fldCharType="end"/>
      </w:r>
    </w:p>
    <w:p w:rsidR="00B61958" w:rsidRPr="00B0269E" w:rsidRDefault="00B61958" w:rsidP="00B61958">
      <w:pPr>
        <w:jc w:val="both"/>
        <w:rPr>
          <w:rFonts w:ascii="Arial" w:hAnsi="Arial" w:cs="Arial"/>
          <w:szCs w:val="32"/>
          <w:lang w:val="en-US"/>
        </w:rPr>
      </w:pPr>
      <w:r w:rsidRPr="00B0269E">
        <w:rPr>
          <w:rFonts w:ascii="Arial" w:hAnsi="Arial" w:cs="Arial"/>
          <w:szCs w:val="32"/>
          <w:lang w:val="en-US"/>
        </w:rPr>
        <w:t xml:space="preserve">Required by City of Nedlands policy: </w:t>
      </w:r>
      <w:r w:rsidRPr="00B0269E">
        <w:rPr>
          <w:rFonts w:ascii="Arial" w:hAnsi="Arial" w:cs="Arial"/>
          <w:szCs w:val="32"/>
          <w:lang w:val="en-US"/>
        </w:rPr>
        <w:tab/>
      </w:r>
      <w:r w:rsidRPr="00B0269E">
        <w:rPr>
          <w:rFonts w:ascii="Arial" w:hAnsi="Arial" w:cs="Arial"/>
          <w:szCs w:val="32"/>
          <w:lang w:val="en-US"/>
        </w:rPr>
        <w:tab/>
        <w:t xml:space="preserve">Yes </w:t>
      </w:r>
      <w:r w:rsidRPr="00B0269E">
        <w:rPr>
          <w:rFonts w:ascii="Arial" w:hAnsi="Arial" w:cs="Arial"/>
          <w:szCs w:val="32"/>
          <w:lang w:val="en-US"/>
        </w:rPr>
        <w:fldChar w:fldCharType="begin">
          <w:ffData>
            <w:name w:val="Check1"/>
            <w:enabled/>
            <w:calcOnExit w:val="0"/>
            <w:checkBox>
              <w:sizeAuto/>
              <w:default w:val="0"/>
            </w:checkBox>
          </w:ffData>
        </w:fldChar>
      </w:r>
      <w:r w:rsidRPr="00B0269E">
        <w:rPr>
          <w:rFonts w:ascii="Arial" w:hAnsi="Arial" w:cs="Arial"/>
          <w:szCs w:val="32"/>
          <w:lang w:val="en-US"/>
        </w:rPr>
        <w:instrText xml:space="preserve"> FORMCHECKBOX </w:instrText>
      </w:r>
      <w:r w:rsidR="004B03F0">
        <w:rPr>
          <w:rFonts w:ascii="Arial" w:hAnsi="Arial" w:cs="Arial"/>
          <w:szCs w:val="32"/>
          <w:lang w:val="en-US"/>
        </w:rPr>
      </w:r>
      <w:r w:rsidR="004B03F0">
        <w:rPr>
          <w:rFonts w:ascii="Arial" w:hAnsi="Arial" w:cs="Arial"/>
          <w:szCs w:val="32"/>
          <w:lang w:val="en-US"/>
        </w:rPr>
        <w:fldChar w:fldCharType="separate"/>
      </w:r>
      <w:r w:rsidRPr="00B0269E">
        <w:rPr>
          <w:rFonts w:ascii="Arial" w:hAnsi="Arial" w:cs="Arial"/>
          <w:szCs w:val="32"/>
        </w:rPr>
        <w:fldChar w:fldCharType="end"/>
      </w:r>
      <w:r w:rsidRPr="00B0269E">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4B03F0">
        <w:rPr>
          <w:rFonts w:ascii="Arial" w:hAnsi="Arial" w:cs="Arial"/>
          <w:szCs w:val="32"/>
          <w:lang w:val="en-US"/>
        </w:rPr>
      </w:r>
      <w:r w:rsidR="004B03F0">
        <w:rPr>
          <w:rFonts w:ascii="Arial" w:hAnsi="Arial" w:cs="Arial"/>
          <w:szCs w:val="32"/>
          <w:lang w:val="en-US"/>
        </w:rPr>
        <w:fldChar w:fldCharType="separate"/>
      </w:r>
      <w:r>
        <w:rPr>
          <w:rFonts w:ascii="Arial" w:hAnsi="Arial" w:cs="Arial"/>
          <w:szCs w:val="32"/>
          <w:lang w:val="en-US"/>
        </w:rPr>
        <w:fldChar w:fldCharType="end"/>
      </w:r>
    </w:p>
    <w:p w:rsidR="00B61958" w:rsidRPr="00B0269E"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Pr>
          <w:rFonts w:ascii="Arial" w:hAnsi="Arial" w:cs="Arial"/>
          <w:szCs w:val="32"/>
          <w:lang w:val="en-US"/>
        </w:rPr>
        <w:t>The Annual Financial report has been presented to the Audit and Risk Committee.</w:t>
      </w:r>
    </w:p>
    <w:p w:rsidR="00B61958" w:rsidRPr="00B0269E"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Legislation / Policy</w:t>
      </w:r>
    </w:p>
    <w:p w:rsidR="00B61958" w:rsidRPr="00B0269E" w:rsidRDefault="00B61958" w:rsidP="00B61958">
      <w:pPr>
        <w:jc w:val="both"/>
        <w:rPr>
          <w:rFonts w:ascii="Arial" w:hAnsi="Arial" w:cs="Arial"/>
          <w:b/>
          <w:szCs w:val="32"/>
          <w:lang w:val="en-US"/>
        </w:rPr>
      </w:pPr>
    </w:p>
    <w:p w:rsidR="00B61958" w:rsidRPr="00B0269E" w:rsidRDefault="00B61958" w:rsidP="00B61958">
      <w:pPr>
        <w:jc w:val="both"/>
        <w:rPr>
          <w:rFonts w:ascii="Arial" w:hAnsi="Arial" w:cs="Arial"/>
          <w:szCs w:val="32"/>
          <w:lang w:val="en-US"/>
        </w:rPr>
      </w:pPr>
      <w:r w:rsidRPr="009D2E8C">
        <w:rPr>
          <w:rFonts w:ascii="Arial" w:hAnsi="Arial" w:cs="Arial"/>
          <w:szCs w:val="32"/>
          <w:lang w:val="en-US"/>
        </w:rPr>
        <w:t>Sections 5.27, 5.29, 5.53, 5.54 and 6.4 of the Local Government Act 1995</w:t>
      </w:r>
      <w:r>
        <w:rPr>
          <w:rFonts w:ascii="Arial" w:hAnsi="Arial" w:cs="Arial"/>
          <w:szCs w:val="32"/>
          <w:lang w:val="en-US"/>
        </w:rPr>
        <w:t xml:space="preserve"> </w:t>
      </w:r>
      <w:r w:rsidRPr="009D2E8C">
        <w:rPr>
          <w:rFonts w:ascii="Arial" w:hAnsi="Arial" w:cs="Arial"/>
          <w:szCs w:val="32"/>
          <w:lang w:val="en-US"/>
        </w:rPr>
        <w:t>respectively deal with the requirement for a General Meeting of</w:t>
      </w:r>
      <w:r>
        <w:rPr>
          <w:rFonts w:ascii="Arial" w:hAnsi="Arial" w:cs="Arial"/>
          <w:szCs w:val="32"/>
          <w:lang w:val="en-US"/>
        </w:rPr>
        <w:t xml:space="preserve"> </w:t>
      </w:r>
      <w:r w:rsidRPr="009D2E8C">
        <w:rPr>
          <w:rFonts w:ascii="Arial" w:hAnsi="Arial" w:cs="Arial"/>
          <w:szCs w:val="32"/>
          <w:lang w:val="en-US"/>
        </w:rPr>
        <w:t>Electors each financial year and the requirement for an Annual Financial</w:t>
      </w:r>
      <w:r>
        <w:rPr>
          <w:rFonts w:ascii="Arial" w:hAnsi="Arial" w:cs="Arial"/>
          <w:szCs w:val="32"/>
          <w:lang w:val="en-US"/>
        </w:rPr>
        <w:t xml:space="preserve"> </w:t>
      </w:r>
      <w:r w:rsidRPr="009D2E8C">
        <w:rPr>
          <w:rFonts w:ascii="Arial" w:hAnsi="Arial" w:cs="Arial"/>
          <w:szCs w:val="32"/>
          <w:lang w:val="en-US"/>
        </w:rPr>
        <w:t>Report.</w:t>
      </w:r>
    </w:p>
    <w:p w:rsidR="00B61958" w:rsidRPr="00B0269E"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Budget/Financial Implications</w:t>
      </w:r>
    </w:p>
    <w:p w:rsidR="00B61958" w:rsidRPr="00B0269E" w:rsidRDefault="00B61958" w:rsidP="00B61958">
      <w:pPr>
        <w:jc w:val="both"/>
        <w:rPr>
          <w:rFonts w:ascii="Arial" w:hAnsi="Arial" w:cs="Arial"/>
          <w:b/>
          <w:szCs w:val="32"/>
          <w:lang w:val="en-US"/>
        </w:rPr>
      </w:pPr>
    </w:p>
    <w:p w:rsidR="00B61958" w:rsidRDefault="00B61958" w:rsidP="00B61958">
      <w:pPr>
        <w:jc w:val="both"/>
        <w:rPr>
          <w:rFonts w:ascii="Arial" w:hAnsi="Arial" w:cs="Arial"/>
          <w:szCs w:val="32"/>
          <w:lang w:val="en-US"/>
        </w:rPr>
      </w:pPr>
      <w:r>
        <w:rPr>
          <w:rFonts w:ascii="Arial" w:hAnsi="Arial" w:cs="Arial"/>
          <w:szCs w:val="32"/>
          <w:lang w:val="en-US"/>
        </w:rPr>
        <w:t>See discussion below.</w:t>
      </w:r>
    </w:p>
    <w:p w:rsidR="00B61958" w:rsidRPr="00B0269E"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Risk Management</w:t>
      </w:r>
    </w:p>
    <w:p w:rsidR="00B61958" w:rsidRPr="00B0269E" w:rsidRDefault="00B61958" w:rsidP="00B61958">
      <w:pPr>
        <w:jc w:val="both"/>
        <w:rPr>
          <w:rFonts w:ascii="Arial" w:hAnsi="Arial" w:cs="Arial"/>
          <w:b/>
          <w:szCs w:val="32"/>
          <w:lang w:val="en-US"/>
        </w:rPr>
      </w:pPr>
    </w:p>
    <w:p w:rsidR="00B61958" w:rsidRPr="00B0269E" w:rsidRDefault="00B61958" w:rsidP="00B61958">
      <w:pPr>
        <w:jc w:val="both"/>
        <w:rPr>
          <w:rFonts w:ascii="Arial" w:hAnsi="Arial" w:cs="Arial"/>
          <w:szCs w:val="32"/>
          <w:lang w:val="en-US"/>
        </w:rPr>
      </w:pPr>
      <w:r>
        <w:rPr>
          <w:rFonts w:ascii="Arial" w:hAnsi="Arial" w:cs="Arial"/>
          <w:szCs w:val="32"/>
          <w:lang w:val="en-US"/>
        </w:rPr>
        <w:t>Not applicable</w:t>
      </w:r>
      <w:r w:rsidRPr="00B0269E">
        <w:rPr>
          <w:rFonts w:ascii="Arial" w:hAnsi="Arial" w:cs="Arial"/>
          <w:szCs w:val="32"/>
          <w:lang w:val="en-US"/>
        </w:rPr>
        <w:t>.</w:t>
      </w:r>
    </w:p>
    <w:p w:rsidR="00B61958" w:rsidRPr="00B0269E" w:rsidRDefault="00B61958" w:rsidP="00B61958">
      <w:pPr>
        <w:jc w:val="both"/>
        <w:rPr>
          <w:rFonts w:ascii="Arial" w:hAnsi="Arial" w:cs="Arial"/>
          <w:b/>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Discussion</w:t>
      </w:r>
    </w:p>
    <w:p w:rsidR="00B61958" w:rsidRPr="00B0269E" w:rsidRDefault="00B61958" w:rsidP="00B61958">
      <w:pPr>
        <w:jc w:val="both"/>
        <w:rPr>
          <w:rFonts w:ascii="Arial" w:hAnsi="Arial" w:cs="Arial"/>
          <w:b/>
          <w:szCs w:val="32"/>
          <w:lang w:val="en-US"/>
        </w:rPr>
      </w:pPr>
    </w:p>
    <w:p w:rsidR="00B61958" w:rsidRDefault="00B61958" w:rsidP="00B61958">
      <w:pPr>
        <w:jc w:val="both"/>
        <w:rPr>
          <w:rFonts w:ascii="Arial" w:hAnsi="Arial" w:cs="Arial"/>
          <w:b/>
          <w:szCs w:val="32"/>
          <w:lang w:val="en-US"/>
        </w:rPr>
      </w:pPr>
      <w:r>
        <w:rPr>
          <w:rFonts w:ascii="Arial" w:hAnsi="Arial" w:cs="Arial"/>
          <w:b/>
          <w:szCs w:val="32"/>
          <w:lang w:val="en-US"/>
        </w:rPr>
        <w:t>Highlights</w:t>
      </w:r>
    </w:p>
    <w:p w:rsidR="00B61958" w:rsidRDefault="00B61958" w:rsidP="00B61958">
      <w:pPr>
        <w:jc w:val="both"/>
        <w:rPr>
          <w:rFonts w:ascii="Arial" w:hAnsi="Arial" w:cs="Arial"/>
          <w:b/>
          <w:szCs w:val="32"/>
          <w:lang w:val="en-US"/>
        </w:rPr>
      </w:pPr>
    </w:p>
    <w:p w:rsidR="00B61958" w:rsidRDefault="00B61958" w:rsidP="00B61958">
      <w:pPr>
        <w:jc w:val="both"/>
        <w:rPr>
          <w:rFonts w:ascii="Arial" w:hAnsi="Arial" w:cs="Arial"/>
          <w:szCs w:val="32"/>
          <w:lang w:val="en-US"/>
        </w:rPr>
      </w:pPr>
      <w:r>
        <w:rPr>
          <w:rFonts w:ascii="Arial" w:hAnsi="Arial" w:cs="Arial"/>
          <w:szCs w:val="32"/>
          <w:lang w:val="en-US"/>
        </w:rPr>
        <w:t>The Annual Report identifies many achievements and highlights for 2013-14.  Some of these included:</w:t>
      </w:r>
    </w:p>
    <w:p w:rsidR="00B61958" w:rsidRDefault="00B61958" w:rsidP="00B61958">
      <w:pPr>
        <w:jc w:val="both"/>
        <w:rPr>
          <w:rFonts w:ascii="Arial" w:hAnsi="Arial" w:cs="Arial"/>
          <w:szCs w:val="32"/>
          <w:lang w:val="en-US"/>
        </w:rPr>
      </w:pPr>
    </w:p>
    <w:p w:rsidR="00B61958" w:rsidRDefault="00B61958" w:rsidP="006866B4">
      <w:pPr>
        <w:pStyle w:val="ListParagraph"/>
        <w:numPr>
          <w:ilvl w:val="0"/>
          <w:numId w:val="9"/>
        </w:numPr>
        <w:spacing w:after="0" w:line="240" w:lineRule="auto"/>
        <w:jc w:val="both"/>
        <w:rPr>
          <w:rFonts w:ascii="Arial" w:hAnsi="Arial" w:cs="Arial"/>
          <w:sz w:val="24"/>
          <w:szCs w:val="32"/>
          <w:lang w:val="en-US"/>
        </w:rPr>
      </w:pPr>
      <w:r w:rsidRPr="00E55951">
        <w:rPr>
          <w:rFonts w:ascii="Arial" w:hAnsi="Arial" w:cs="Arial"/>
          <w:sz w:val="24"/>
          <w:szCs w:val="32"/>
          <w:lang w:val="en-US"/>
        </w:rPr>
        <w:t xml:space="preserve">Positive response to the Community perceptions survey, ranking </w:t>
      </w:r>
      <w:r>
        <w:rPr>
          <w:rFonts w:ascii="Arial" w:hAnsi="Arial" w:cs="Arial"/>
          <w:sz w:val="24"/>
          <w:szCs w:val="32"/>
          <w:lang w:val="en-US"/>
        </w:rPr>
        <w:t xml:space="preserve">the City </w:t>
      </w:r>
      <w:r w:rsidRPr="00E55951">
        <w:rPr>
          <w:rFonts w:ascii="Arial" w:hAnsi="Arial" w:cs="Arial"/>
          <w:sz w:val="24"/>
          <w:szCs w:val="32"/>
          <w:lang w:val="en-US"/>
        </w:rPr>
        <w:t xml:space="preserve">at that time as </w:t>
      </w:r>
      <w:r>
        <w:rPr>
          <w:rFonts w:ascii="Arial" w:hAnsi="Arial" w:cs="Arial"/>
          <w:sz w:val="24"/>
          <w:szCs w:val="32"/>
          <w:lang w:val="en-US"/>
        </w:rPr>
        <w:t xml:space="preserve">the </w:t>
      </w:r>
      <w:r w:rsidRPr="00E55951">
        <w:rPr>
          <w:rFonts w:ascii="Arial" w:hAnsi="Arial" w:cs="Arial"/>
          <w:sz w:val="24"/>
          <w:szCs w:val="32"/>
          <w:lang w:val="en-US"/>
        </w:rPr>
        <w:t xml:space="preserve">second </w:t>
      </w:r>
      <w:r>
        <w:rPr>
          <w:rFonts w:ascii="Arial" w:hAnsi="Arial" w:cs="Arial"/>
          <w:sz w:val="24"/>
          <w:szCs w:val="32"/>
          <w:lang w:val="en-US"/>
        </w:rPr>
        <w:t xml:space="preserve">highest </w:t>
      </w:r>
      <w:r w:rsidR="00450229">
        <w:rPr>
          <w:rFonts w:ascii="Arial" w:hAnsi="Arial" w:cs="Arial"/>
          <w:sz w:val="24"/>
          <w:szCs w:val="32"/>
          <w:lang w:val="en-US"/>
        </w:rPr>
        <w:t>in the metropolitan area;</w:t>
      </w:r>
    </w:p>
    <w:p w:rsidR="00B61958" w:rsidRDefault="00B61958" w:rsidP="006866B4">
      <w:pPr>
        <w:pStyle w:val="ListParagraph"/>
        <w:numPr>
          <w:ilvl w:val="0"/>
          <w:numId w:val="9"/>
        </w:numPr>
        <w:spacing w:after="0" w:line="240" w:lineRule="auto"/>
        <w:jc w:val="both"/>
        <w:rPr>
          <w:rFonts w:ascii="Arial" w:hAnsi="Arial" w:cs="Arial"/>
          <w:sz w:val="24"/>
          <w:szCs w:val="32"/>
          <w:lang w:val="en-US"/>
        </w:rPr>
      </w:pPr>
      <w:r w:rsidRPr="00E55951">
        <w:rPr>
          <w:rFonts w:ascii="Arial" w:hAnsi="Arial" w:cs="Arial"/>
          <w:sz w:val="24"/>
          <w:szCs w:val="32"/>
          <w:lang w:val="en-US"/>
        </w:rPr>
        <w:t xml:space="preserve">Renewal of the City’s waste contract </w:t>
      </w:r>
      <w:r>
        <w:rPr>
          <w:rFonts w:ascii="Arial" w:hAnsi="Arial" w:cs="Arial"/>
          <w:sz w:val="24"/>
          <w:szCs w:val="32"/>
          <w:lang w:val="en-US"/>
        </w:rPr>
        <w:t>resulting in savings of $800,000 being passed on the residents</w:t>
      </w:r>
      <w:r w:rsidR="00450229">
        <w:rPr>
          <w:rFonts w:ascii="Arial" w:hAnsi="Arial" w:cs="Arial"/>
          <w:sz w:val="24"/>
          <w:szCs w:val="32"/>
          <w:lang w:val="en-US"/>
        </w:rPr>
        <w:t>;</w:t>
      </w:r>
    </w:p>
    <w:p w:rsidR="00B61958" w:rsidRDefault="00B61958" w:rsidP="006866B4">
      <w:pPr>
        <w:pStyle w:val="ListParagraph"/>
        <w:numPr>
          <w:ilvl w:val="0"/>
          <w:numId w:val="9"/>
        </w:numPr>
        <w:spacing w:after="0" w:line="240" w:lineRule="auto"/>
        <w:jc w:val="both"/>
        <w:rPr>
          <w:rFonts w:ascii="Arial" w:hAnsi="Arial" w:cs="Arial"/>
          <w:sz w:val="24"/>
          <w:szCs w:val="32"/>
          <w:lang w:val="en-US"/>
        </w:rPr>
      </w:pPr>
      <w:r>
        <w:rPr>
          <w:rFonts w:ascii="Arial" w:hAnsi="Arial" w:cs="Arial"/>
          <w:sz w:val="24"/>
          <w:szCs w:val="32"/>
          <w:lang w:val="en-US"/>
        </w:rPr>
        <w:t>Undertaking a number of successful events including the summer concerts, Emerge Youth Art Awards, Anzac Day and Remembrance Day ceremonies and</w:t>
      </w:r>
      <w:r w:rsidR="00450229">
        <w:rPr>
          <w:rFonts w:ascii="Arial" w:hAnsi="Arial" w:cs="Arial"/>
          <w:sz w:val="24"/>
          <w:szCs w:val="32"/>
          <w:lang w:val="en-US"/>
        </w:rPr>
        <w:t xml:space="preserve"> Blessing of the River ceremony;</w:t>
      </w:r>
    </w:p>
    <w:p w:rsidR="00B61958" w:rsidRDefault="00B61958" w:rsidP="006866B4">
      <w:pPr>
        <w:pStyle w:val="ListParagraph"/>
        <w:numPr>
          <w:ilvl w:val="0"/>
          <w:numId w:val="9"/>
        </w:numPr>
        <w:spacing w:after="0" w:line="240" w:lineRule="auto"/>
        <w:jc w:val="both"/>
        <w:rPr>
          <w:rFonts w:ascii="Arial" w:hAnsi="Arial" w:cs="Arial"/>
          <w:sz w:val="24"/>
          <w:szCs w:val="32"/>
          <w:lang w:val="en-US"/>
        </w:rPr>
      </w:pPr>
      <w:r>
        <w:rPr>
          <w:rFonts w:ascii="Arial" w:hAnsi="Arial" w:cs="Arial"/>
          <w:sz w:val="24"/>
          <w:szCs w:val="32"/>
          <w:lang w:val="en-US"/>
        </w:rPr>
        <w:t>Establishment of an Arts Committee</w:t>
      </w:r>
      <w:r w:rsidR="00450229">
        <w:rPr>
          <w:rFonts w:ascii="Arial" w:hAnsi="Arial" w:cs="Arial"/>
          <w:sz w:val="24"/>
          <w:szCs w:val="32"/>
          <w:lang w:val="en-US"/>
        </w:rPr>
        <w:t>; and</w:t>
      </w:r>
    </w:p>
    <w:p w:rsidR="00B61958" w:rsidRPr="00E55951" w:rsidRDefault="00B61958" w:rsidP="006866B4">
      <w:pPr>
        <w:pStyle w:val="ListParagraph"/>
        <w:numPr>
          <w:ilvl w:val="0"/>
          <w:numId w:val="9"/>
        </w:numPr>
        <w:spacing w:after="0" w:line="240" w:lineRule="auto"/>
        <w:jc w:val="both"/>
        <w:rPr>
          <w:rFonts w:ascii="Arial" w:hAnsi="Arial" w:cs="Arial"/>
          <w:sz w:val="24"/>
          <w:szCs w:val="32"/>
          <w:lang w:val="en-US"/>
        </w:rPr>
      </w:pPr>
      <w:r>
        <w:rPr>
          <w:rFonts w:ascii="Arial" w:hAnsi="Arial" w:cs="Arial"/>
          <w:sz w:val="24"/>
          <w:szCs w:val="32"/>
          <w:lang w:val="en-US"/>
        </w:rPr>
        <w:t xml:space="preserve">Review of child care services with Point Resolution remaining under Council’s control but being run on a break even basis and the leasing of </w:t>
      </w:r>
      <w:r w:rsidR="00450229">
        <w:rPr>
          <w:rFonts w:ascii="Arial" w:hAnsi="Arial" w:cs="Arial"/>
          <w:sz w:val="24"/>
          <w:szCs w:val="32"/>
          <w:lang w:val="en-US"/>
        </w:rPr>
        <w:t xml:space="preserve">the </w:t>
      </w:r>
      <w:r>
        <w:rPr>
          <w:rFonts w:ascii="Arial" w:hAnsi="Arial" w:cs="Arial"/>
          <w:sz w:val="24"/>
          <w:szCs w:val="32"/>
          <w:lang w:val="en-US"/>
        </w:rPr>
        <w:t>vacant Melvista Avenue facility to Kidz Galore.</w:t>
      </w:r>
    </w:p>
    <w:p w:rsidR="00B61958" w:rsidRDefault="00B61958" w:rsidP="00B61958">
      <w:pPr>
        <w:jc w:val="both"/>
        <w:rPr>
          <w:rFonts w:ascii="Arial" w:hAnsi="Arial" w:cs="Arial"/>
          <w:b/>
          <w:szCs w:val="32"/>
          <w:lang w:val="en-US"/>
        </w:rPr>
      </w:pPr>
    </w:p>
    <w:p w:rsidR="00B61958" w:rsidRPr="00425E9A" w:rsidRDefault="00B61958" w:rsidP="00B61958">
      <w:pPr>
        <w:jc w:val="both"/>
        <w:rPr>
          <w:rFonts w:ascii="Arial" w:hAnsi="Arial" w:cs="Arial"/>
          <w:b/>
          <w:szCs w:val="32"/>
          <w:lang w:val="en-US"/>
        </w:rPr>
      </w:pPr>
      <w:r w:rsidRPr="00425E9A">
        <w:rPr>
          <w:rFonts w:ascii="Arial" w:hAnsi="Arial" w:cs="Arial"/>
          <w:b/>
          <w:szCs w:val="32"/>
          <w:lang w:val="en-US"/>
        </w:rPr>
        <w:t>Financial Performance</w:t>
      </w:r>
    </w:p>
    <w:p w:rsidR="00B61958" w:rsidRPr="00142EE3"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142EE3">
        <w:rPr>
          <w:rFonts w:ascii="Arial" w:hAnsi="Arial" w:cs="Arial"/>
          <w:szCs w:val="32"/>
          <w:lang w:val="en-US"/>
        </w:rPr>
        <w:t>In terms of Financial Performance the City completed the year with an</w:t>
      </w:r>
      <w:r>
        <w:rPr>
          <w:rFonts w:ascii="Arial" w:hAnsi="Arial" w:cs="Arial"/>
          <w:szCs w:val="32"/>
          <w:lang w:val="en-US"/>
        </w:rPr>
        <w:t xml:space="preserve"> </w:t>
      </w:r>
      <w:r w:rsidRPr="00142EE3">
        <w:rPr>
          <w:rFonts w:ascii="Arial" w:hAnsi="Arial" w:cs="Arial"/>
          <w:szCs w:val="32"/>
          <w:lang w:val="en-US"/>
        </w:rPr>
        <w:t>operating surplus of $1,825,151. This compares with an operating</w:t>
      </w:r>
      <w:r>
        <w:rPr>
          <w:rFonts w:ascii="Arial" w:hAnsi="Arial" w:cs="Arial"/>
          <w:szCs w:val="32"/>
          <w:lang w:val="en-US"/>
        </w:rPr>
        <w:t xml:space="preserve"> </w:t>
      </w:r>
      <w:r w:rsidRPr="00142EE3">
        <w:rPr>
          <w:rFonts w:ascii="Arial" w:hAnsi="Arial" w:cs="Arial"/>
          <w:szCs w:val="32"/>
          <w:lang w:val="en-US"/>
        </w:rPr>
        <w:t>surplus of $3,348,500 in the budget adopted in June 2013. The</w:t>
      </w:r>
      <w:r>
        <w:rPr>
          <w:rFonts w:ascii="Arial" w:hAnsi="Arial" w:cs="Arial"/>
          <w:szCs w:val="32"/>
          <w:lang w:val="en-US"/>
        </w:rPr>
        <w:t xml:space="preserve"> </w:t>
      </w:r>
      <w:r w:rsidRPr="00142EE3">
        <w:rPr>
          <w:rFonts w:ascii="Arial" w:hAnsi="Arial" w:cs="Arial"/>
          <w:szCs w:val="32"/>
          <w:lang w:val="en-US"/>
        </w:rPr>
        <w:t>Operating Statement includes all operating revenues and expenses,</w:t>
      </w:r>
      <w:r>
        <w:rPr>
          <w:rFonts w:ascii="Arial" w:hAnsi="Arial" w:cs="Arial"/>
          <w:szCs w:val="32"/>
          <w:lang w:val="en-US"/>
        </w:rPr>
        <w:t xml:space="preserve"> </w:t>
      </w:r>
      <w:r w:rsidRPr="00142EE3">
        <w:rPr>
          <w:rFonts w:ascii="Arial" w:hAnsi="Arial" w:cs="Arial"/>
          <w:szCs w:val="32"/>
          <w:lang w:val="en-US"/>
        </w:rPr>
        <w:t>both cash and non-cash, as well as grants and contributions for</w:t>
      </w:r>
      <w:r>
        <w:rPr>
          <w:rFonts w:ascii="Arial" w:hAnsi="Arial" w:cs="Arial"/>
          <w:szCs w:val="32"/>
          <w:lang w:val="en-US"/>
        </w:rPr>
        <w:t xml:space="preserve"> </w:t>
      </w:r>
      <w:r w:rsidRPr="00142EE3">
        <w:rPr>
          <w:rFonts w:ascii="Arial" w:hAnsi="Arial" w:cs="Arial"/>
          <w:szCs w:val="32"/>
          <w:lang w:val="en-US"/>
        </w:rPr>
        <w:t>acquisition of assets. In terms of setting its rates Council does not</w:t>
      </w:r>
      <w:r>
        <w:rPr>
          <w:rFonts w:ascii="Arial" w:hAnsi="Arial" w:cs="Arial"/>
          <w:szCs w:val="32"/>
          <w:lang w:val="en-US"/>
        </w:rPr>
        <w:t xml:space="preserve"> </w:t>
      </w:r>
      <w:r w:rsidRPr="00142EE3">
        <w:rPr>
          <w:rFonts w:ascii="Arial" w:hAnsi="Arial" w:cs="Arial"/>
          <w:szCs w:val="32"/>
          <w:lang w:val="en-US"/>
        </w:rPr>
        <w:t>budget to raise rates to recover the non-cash costs of depreciation but</w:t>
      </w:r>
      <w:r>
        <w:rPr>
          <w:rFonts w:ascii="Arial" w:hAnsi="Arial" w:cs="Arial"/>
          <w:szCs w:val="32"/>
          <w:lang w:val="en-US"/>
        </w:rPr>
        <w:t xml:space="preserve"> </w:t>
      </w:r>
      <w:r w:rsidRPr="00142EE3">
        <w:rPr>
          <w:rFonts w:ascii="Arial" w:hAnsi="Arial" w:cs="Arial"/>
          <w:szCs w:val="32"/>
          <w:lang w:val="en-US"/>
        </w:rPr>
        <w:t>does budget to generate sufficient operating revenue to fund its capital</w:t>
      </w:r>
      <w:r>
        <w:rPr>
          <w:rFonts w:ascii="Arial" w:hAnsi="Arial" w:cs="Arial"/>
          <w:szCs w:val="32"/>
          <w:lang w:val="en-US"/>
        </w:rPr>
        <w:t xml:space="preserve"> </w:t>
      </w:r>
      <w:r w:rsidRPr="00142EE3">
        <w:rPr>
          <w:rFonts w:ascii="Arial" w:hAnsi="Arial" w:cs="Arial"/>
          <w:szCs w:val="32"/>
          <w:lang w:val="en-US"/>
        </w:rPr>
        <w:t>works program.</w:t>
      </w:r>
    </w:p>
    <w:p w:rsidR="00B61958" w:rsidRPr="00142EE3"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142EE3">
        <w:rPr>
          <w:rFonts w:ascii="Arial" w:hAnsi="Arial" w:cs="Arial"/>
          <w:szCs w:val="32"/>
          <w:lang w:val="en-US"/>
        </w:rPr>
        <w:t>There were several significant factors contributing to the unfavourable</w:t>
      </w:r>
      <w:r>
        <w:rPr>
          <w:rFonts w:ascii="Arial" w:hAnsi="Arial" w:cs="Arial"/>
          <w:szCs w:val="32"/>
          <w:lang w:val="en-US"/>
        </w:rPr>
        <w:t xml:space="preserve"> </w:t>
      </w:r>
      <w:r w:rsidRPr="00142EE3">
        <w:rPr>
          <w:rFonts w:ascii="Arial" w:hAnsi="Arial" w:cs="Arial"/>
          <w:szCs w:val="32"/>
          <w:lang w:val="en-US"/>
        </w:rPr>
        <w:t>variance of actual to adopted budget. The operating revenues,</w:t>
      </w:r>
      <w:r>
        <w:rPr>
          <w:rFonts w:ascii="Arial" w:hAnsi="Arial" w:cs="Arial"/>
          <w:szCs w:val="32"/>
          <w:lang w:val="en-US"/>
        </w:rPr>
        <w:t xml:space="preserve"> </w:t>
      </w:r>
      <w:r w:rsidRPr="00142EE3">
        <w:rPr>
          <w:rFonts w:ascii="Arial" w:hAnsi="Arial" w:cs="Arial"/>
          <w:szCs w:val="32"/>
          <w:lang w:val="en-US"/>
        </w:rPr>
        <w:t>excluding contributions for capital acquisitions, were better than budget</w:t>
      </w:r>
      <w:r>
        <w:rPr>
          <w:rFonts w:ascii="Arial" w:hAnsi="Arial" w:cs="Arial"/>
          <w:szCs w:val="32"/>
          <w:lang w:val="en-US"/>
        </w:rPr>
        <w:t xml:space="preserve"> </w:t>
      </w:r>
      <w:r w:rsidRPr="00142EE3">
        <w:rPr>
          <w:rFonts w:ascii="Arial" w:hAnsi="Arial" w:cs="Arial"/>
          <w:szCs w:val="32"/>
          <w:lang w:val="en-US"/>
        </w:rPr>
        <w:t>by $25,098. The operating expenses show savings of $313,953.</w:t>
      </w:r>
      <w:r>
        <w:rPr>
          <w:rFonts w:ascii="Arial" w:hAnsi="Arial" w:cs="Arial"/>
          <w:szCs w:val="32"/>
          <w:lang w:val="en-US"/>
        </w:rPr>
        <w:t xml:space="preserve"> </w:t>
      </w:r>
      <w:r w:rsidRPr="00142EE3">
        <w:rPr>
          <w:rFonts w:ascii="Arial" w:hAnsi="Arial" w:cs="Arial"/>
          <w:szCs w:val="32"/>
          <w:lang w:val="en-US"/>
        </w:rPr>
        <w:t>However, grants and contributions received for capital acquisitions,</w:t>
      </w:r>
      <w:r>
        <w:rPr>
          <w:rFonts w:ascii="Arial" w:hAnsi="Arial" w:cs="Arial"/>
          <w:szCs w:val="32"/>
          <w:lang w:val="en-US"/>
        </w:rPr>
        <w:t xml:space="preserve"> </w:t>
      </w:r>
      <w:r w:rsidRPr="00142EE3">
        <w:rPr>
          <w:rFonts w:ascii="Arial" w:hAnsi="Arial" w:cs="Arial"/>
          <w:szCs w:val="32"/>
          <w:lang w:val="en-US"/>
        </w:rPr>
        <w:t>together with net profit on asset disposals, were below the budget by</w:t>
      </w:r>
      <w:r>
        <w:rPr>
          <w:rFonts w:ascii="Arial" w:hAnsi="Arial" w:cs="Arial"/>
          <w:szCs w:val="32"/>
          <w:lang w:val="en-US"/>
        </w:rPr>
        <w:t xml:space="preserve"> </w:t>
      </w:r>
      <w:r w:rsidRPr="00142EE3">
        <w:rPr>
          <w:rFonts w:ascii="Arial" w:hAnsi="Arial" w:cs="Arial"/>
          <w:szCs w:val="32"/>
          <w:lang w:val="en-US"/>
        </w:rPr>
        <w:t>$1,862,400.</w:t>
      </w:r>
      <w:r>
        <w:rPr>
          <w:rFonts w:ascii="Arial" w:hAnsi="Arial" w:cs="Arial"/>
          <w:szCs w:val="32"/>
          <w:lang w:val="en-US"/>
        </w:rPr>
        <w:t xml:space="preserve"> </w:t>
      </w:r>
    </w:p>
    <w:p w:rsidR="00B61958"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szCs w:val="32"/>
          <w:lang w:val="en-US"/>
        </w:rPr>
      </w:pPr>
      <w:r w:rsidRPr="00142EE3">
        <w:rPr>
          <w:rFonts w:ascii="Arial" w:hAnsi="Arial" w:cs="Arial"/>
          <w:szCs w:val="32"/>
          <w:lang w:val="en-US"/>
        </w:rPr>
        <w:t>The significant reasons for the variances are:</w:t>
      </w:r>
    </w:p>
    <w:p w:rsidR="00B61958" w:rsidRDefault="00B61958" w:rsidP="00B61958">
      <w:pPr>
        <w:jc w:val="both"/>
        <w:rPr>
          <w:rFonts w:ascii="Arial" w:hAnsi="Arial" w:cs="Arial"/>
          <w:szCs w:val="32"/>
          <w:lang w:val="en-US"/>
        </w:rPr>
      </w:pPr>
    </w:p>
    <w:p w:rsidR="00B61958" w:rsidRPr="00425E9A" w:rsidRDefault="00B61958" w:rsidP="00B61958">
      <w:pPr>
        <w:jc w:val="both"/>
        <w:rPr>
          <w:rFonts w:ascii="Arial" w:hAnsi="Arial" w:cs="Arial"/>
          <w:b/>
          <w:szCs w:val="32"/>
          <w:lang w:val="en-US"/>
        </w:rPr>
      </w:pPr>
      <w:r w:rsidRPr="00425E9A">
        <w:rPr>
          <w:rFonts w:ascii="Arial" w:hAnsi="Arial" w:cs="Arial"/>
          <w:b/>
          <w:szCs w:val="32"/>
          <w:lang w:val="en-US"/>
        </w:rPr>
        <w:t>Revenue</w:t>
      </w:r>
    </w:p>
    <w:p w:rsidR="00B61958" w:rsidRDefault="00B61958" w:rsidP="00B61958">
      <w:pPr>
        <w:pStyle w:val="ListParagraph"/>
        <w:spacing w:after="0" w:line="240" w:lineRule="auto"/>
        <w:jc w:val="both"/>
        <w:rPr>
          <w:rFonts w:ascii="Arial" w:hAnsi="Arial" w:cs="Arial"/>
          <w:sz w:val="24"/>
          <w:szCs w:val="32"/>
          <w:lang w:val="en-US"/>
        </w:rPr>
      </w:pPr>
    </w:p>
    <w:p w:rsidR="00B61958" w:rsidRPr="00142EE3" w:rsidRDefault="00B61958" w:rsidP="006866B4">
      <w:pPr>
        <w:pStyle w:val="ListParagraph"/>
        <w:numPr>
          <w:ilvl w:val="0"/>
          <w:numId w:val="7"/>
        </w:numPr>
        <w:spacing w:after="0" w:line="240" w:lineRule="auto"/>
        <w:jc w:val="both"/>
        <w:rPr>
          <w:rFonts w:ascii="Arial" w:hAnsi="Arial" w:cs="Arial"/>
          <w:sz w:val="24"/>
          <w:szCs w:val="32"/>
          <w:lang w:val="en-US"/>
        </w:rPr>
      </w:pPr>
      <w:r w:rsidRPr="00142EE3">
        <w:rPr>
          <w:rFonts w:ascii="Arial" w:hAnsi="Arial" w:cs="Arial"/>
          <w:sz w:val="24"/>
          <w:szCs w:val="32"/>
          <w:lang w:val="en-US"/>
        </w:rPr>
        <w:t>Operating Grants and Contributions show a shortfall of $261,653 compared to the Budget. This is because part of the operating grant from WA Grants Commission budgeted for 2013/14 financial year was received and recognised as revenue towards the end of the previous financial year. If the grant from the WA Grants Commission is discounted, the City received $151,874 more from contributions and reimbursements than the amount in the adopted Budget.</w:t>
      </w:r>
    </w:p>
    <w:p w:rsidR="00B61958" w:rsidRDefault="00B61958" w:rsidP="00B61958">
      <w:pPr>
        <w:jc w:val="both"/>
        <w:rPr>
          <w:rFonts w:ascii="Arial" w:hAnsi="Arial" w:cs="Arial"/>
          <w:szCs w:val="32"/>
          <w:lang w:val="en-US"/>
        </w:rPr>
      </w:pPr>
    </w:p>
    <w:p w:rsidR="00B61958" w:rsidRPr="00142EE3" w:rsidRDefault="00B61958" w:rsidP="006866B4">
      <w:pPr>
        <w:pStyle w:val="ListParagraph"/>
        <w:numPr>
          <w:ilvl w:val="0"/>
          <w:numId w:val="7"/>
        </w:numPr>
        <w:spacing w:after="0" w:line="240" w:lineRule="auto"/>
        <w:jc w:val="both"/>
        <w:rPr>
          <w:rFonts w:ascii="Arial" w:hAnsi="Arial" w:cs="Arial"/>
          <w:sz w:val="24"/>
          <w:szCs w:val="32"/>
          <w:lang w:val="en-US"/>
        </w:rPr>
      </w:pPr>
      <w:r w:rsidRPr="00142EE3">
        <w:rPr>
          <w:rFonts w:ascii="Arial" w:hAnsi="Arial" w:cs="Arial"/>
          <w:sz w:val="24"/>
          <w:szCs w:val="32"/>
          <w:lang w:val="en-US"/>
        </w:rPr>
        <w:t>Fees and Charges raised were better than budget by $545,431 (8.0%), with sanitation, child care, and cultural activities as well as the hire of recreational facilities as the major contributors to the increased fees.</w:t>
      </w:r>
    </w:p>
    <w:p w:rsidR="00B61958" w:rsidRPr="00142EE3" w:rsidRDefault="00B61958" w:rsidP="00B61958">
      <w:pPr>
        <w:pStyle w:val="ListParagraph"/>
        <w:rPr>
          <w:rFonts w:ascii="Arial" w:hAnsi="Arial" w:cs="Arial"/>
          <w:sz w:val="24"/>
          <w:szCs w:val="32"/>
          <w:lang w:val="en-US"/>
        </w:rPr>
      </w:pPr>
    </w:p>
    <w:p w:rsidR="00B61958" w:rsidRPr="00142EE3" w:rsidRDefault="00B61958" w:rsidP="006866B4">
      <w:pPr>
        <w:pStyle w:val="ListParagraph"/>
        <w:numPr>
          <w:ilvl w:val="0"/>
          <w:numId w:val="7"/>
        </w:numPr>
        <w:spacing w:after="0" w:line="240" w:lineRule="auto"/>
        <w:jc w:val="both"/>
        <w:rPr>
          <w:rFonts w:ascii="Arial" w:hAnsi="Arial" w:cs="Arial"/>
          <w:sz w:val="24"/>
          <w:szCs w:val="32"/>
          <w:lang w:val="en-US"/>
        </w:rPr>
      </w:pPr>
      <w:r w:rsidRPr="00142EE3">
        <w:rPr>
          <w:rFonts w:ascii="Arial" w:hAnsi="Arial" w:cs="Arial"/>
          <w:sz w:val="24"/>
          <w:szCs w:val="32"/>
          <w:lang w:val="en-US"/>
        </w:rPr>
        <w:t>The City earned $316,157 (29.7%) less than budgeted from the investment of funds surplus to its immediate requirements. This was due to a drop in interest rates by banks, coupled with the restrictions on placement of the funds to the “big four” banks and the maximum percentage that can be placed with any one institution.</w:t>
      </w:r>
    </w:p>
    <w:p w:rsidR="00B61958" w:rsidRPr="00142EE3" w:rsidRDefault="00B61958" w:rsidP="00B61958">
      <w:pPr>
        <w:pStyle w:val="ListParagraph"/>
        <w:rPr>
          <w:rFonts w:ascii="Arial" w:hAnsi="Arial" w:cs="Arial"/>
          <w:sz w:val="24"/>
          <w:szCs w:val="32"/>
          <w:lang w:val="en-US"/>
        </w:rPr>
      </w:pPr>
    </w:p>
    <w:p w:rsidR="00B61958" w:rsidRPr="00142EE3" w:rsidRDefault="00B61958" w:rsidP="006866B4">
      <w:pPr>
        <w:pStyle w:val="ListParagraph"/>
        <w:numPr>
          <w:ilvl w:val="0"/>
          <w:numId w:val="7"/>
        </w:numPr>
        <w:spacing w:after="0" w:line="240" w:lineRule="auto"/>
        <w:jc w:val="both"/>
        <w:rPr>
          <w:rFonts w:ascii="Arial" w:hAnsi="Arial" w:cs="Arial"/>
          <w:sz w:val="24"/>
          <w:szCs w:val="32"/>
          <w:lang w:val="en-US"/>
        </w:rPr>
      </w:pPr>
      <w:r w:rsidRPr="00142EE3">
        <w:rPr>
          <w:rFonts w:ascii="Arial" w:hAnsi="Arial" w:cs="Arial"/>
          <w:sz w:val="24"/>
          <w:szCs w:val="32"/>
          <w:lang w:val="en-US"/>
        </w:rPr>
        <w:t>Rates levied were $198,872 (1.0%) less than what was anticipated at the time of Budget adoption. The decrease was partly due to the successful appeal by the Australian Institute of Management to have its property treated as rate-exempt, as well as a system error in the rates modelling with respect to vacant land.</w:t>
      </w:r>
    </w:p>
    <w:p w:rsidR="00B61958" w:rsidRPr="00142EE3" w:rsidRDefault="00B61958" w:rsidP="00B61958">
      <w:pPr>
        <w:pStyle w:val="ListParagraph"/>
        <w:rPr>
          <w:rFonts w:ascii="Arial" w:hAnsi="Arial" w:cs="Arial"/>
          <w:sz w:val="24"/>
          <w:szCs w:val="32"/>
          <w:lang w:val="en-US"/>
        </w:rPr>
      </w:pPr>
    </w:p>
    <w:p w:rsidR="00B61958" w:rsidRPr="00142EE3" w:rsidRDefault="00B61958" w:rsidP="006866B4">
      <w:pPr>
        <w:pStyle w:val="ListParagraph"/>
        <w:numPr>
          <w:ilvl w:val="0"/>
          <w:numId w:val="7"/>
        </w:numPr>
        <w:spacing w:after="0" w:line="240" w:lineRule="auto"/>
        <w:jc w:val="both"/>
        <w:rPr>
          <w:rFonts w:ascii="Arial" w:hAnsi="Arial" w:cs="Arial"/>
          <w:sz w:val="24"/>
          <w:szCs w:val="32"/>
          <w:lang w:val="en-US"/>
        </w:rPr>
      </w:pPr>
      <w:r w:rsidRPr="00142EE3">
        <w:rPr>
          <w:rFonts w:ascii="Arial" w:hAnsi="Arial" w:cs="Arial"/>
          <w:sz w:val="24"/>
          <w:szCs w:val="32"/>
          <w:lang w:val="en-US"/>
        </w:rPr>
        <w:t>Other Revenue was more than Budget by $256,349. This was largely due the increased level of WESROC activities which brought in increased contributions from other WESROC local governments, a grant of $50,000 linked to the proposed Local Government Reform, the lease of parking area to Hollywood Private Hospital, and the recognition as revenue of sums held as retentions for works since carried out by the City.</w:t>
      </w:r>
    </w:p>
    <w:p w:rsidR="00B61958" w:rsidRDefault="00B61958" w:rsidP="00B61958">
      <w:pPr>
        <w:jc w:val="both"/>
        <w:rPr>
          <w:rFonts w:ascii="Arial" w:hAnsi="Arial" w:cs="Arial"/>
          <w:szCs w:val="32"/>
          <w:lang w:val="en-US"/>
        </w:rPr>
      </w:pPr>
    </w:p>
    <w:p w:rsidR="00B61958" w:rsidRPr="00425E9A" w:rsidRDefault="00B61958" w:rsidP="00B61958">
      <w:pPr>
        <w:jc w:val="both"/>
        <w:rPr>
          <w:rFonts w:ascii="Arial" w:hAnsi="Arial" w:cs="Arial"/>
          <w:b/>
          <w:szCs w:val="32"/>
          <w:lang w:val="en-US"/>
        </w:rPr>
      </w:pPr>
      <w:r w:rsidRPr="00425E9A">
        <w:rPr>
          <w:rFonts w:ascii="Arial" w:hAnsi="Arial" w:cs="Arial"/>
          <w:b/>
          <w:szCs w:val="32"/>
          <w:lang w:val="en-US"/>
        </w:rPr>
        <w:t>Operating Expenses</w:t>
      </w:r>
    </w:p>
    <w:p w:rsidR="00B61958" w:rsidRDefault="00B61958" w:rsidP="00B61958">
      <w:pPr>
        <w:jc w:val="both"/>
        <w:rPr>
          <w:rFonts w:ascii="Arial" w:hAnsi="Arial" w:cs="Arial"/>
          <w:szCs w:val="32"/>
          <w:lang w:val="en-US"/>
        </w:rPr>
      </w:pPr>
    </w:p>
    <w:p w:rsidR="00B61958" w:rsidRDefault="00B61958" w:rsidP="00B61958">
      <w:pPr>
        <w:ind w:left="720"/>
        <w:jc w:val="both"/>
        <w:rPr>
          <w:rFonts w:ascii="Arial" w:hAnsi="Arial" w:cs="Arial"/>
          <w:szCs w:val="32"/>
          <w:lang w:val="en-US"/>
        </w:rPr>
      </w:pPr>
      <w:r w:rsidRPr="00142EE3">
        <w:rPr>
          <w:rFonts w:ascii="Arial" w:hAnsi="Arial" w:cs="Arial"/>
          <w:szCs w:val="32"/>
          <w:lang w:val="en-US"/>
        </w:rPr>
        <w:t>1. The operating expenses for the year were $27,775,847.</w:t>
      </w:r>
      <w:r>
        <w:rPr>
          <w:rFonts w:ascii="Arial" w:hAnsi="Arial" w:cs="Arial"/>
          <w:szCs w:val="32"/>
          <w:lang w:val="en-US"/>
        </w:rPr>
        <w:t xml:space="preserve">  </w:t>
      </w:r>
      <w:r w:rsidRPr="00142EE3">
        <w:rPr>
          <w:rFonts w:ascii="Arial" w:hAnsi="Arial" w:cs="Arial"/>
          <w:szCs w:val="32"/>
          <w:lang w:val="en-US"/>
        </w:rPr>
        <w:t>Compared to the Budget of $28,089,800, this is an overall</w:t>
      </w:r>
      <w:r>
        <w:rPr>
          <w:rFonts w:ascii="Arial" w:hAnsi="Arial" w:cs="Arial"/>
          <w:szCs w:val="32"/>
          <w:lang w:val="en-US"/>
        </w:rPr>
        <w:t xml:space="preserve"> </w:t>
      </w:r>
      <w:r w:rsidRPr="00142EE3">
        <w:rPr>
          <w:rFonts w:ascii="Arial" w:hAnsi="Arial" w:cs="Arial"/>
          <w:szCs w:val="32"/>
          <w:lang w:val="en-US"/>
        </w:rPr>
        <w:t>‘savings’ of $313,953 (1.1 %).</w:t>
      </w:r>
      <w:r>
        <w:rPr>
          <w:rFonts w:ascii="Arial" w:hAnsi="Arial" w:cs="Arial"/>
          <w:szCs w:val="32"/>
          <w:lang w:val="en-US"/>
        </w:rPr>
        <w:t xml:space="preserve"> </w:t>
      </w:r>
    </w:p>
    <w:p w:rsidR="00B61958" w:rsidRDefault="00B61958" w:rsidP="00B61958">
      <w:pPr>
        <w:jc w:val="both"/>
        <w:rPr>
          <w:rFonts w:ascii="Arial" w:hAnsi="Arial" w:cs="Arial"/>
          <w:szCs w:val="32"/>
          <w:lang w:val="en-US"/>
        </w:rPr>
      </w:pPr>
    </w:p>
    <w:p w:rsidR="00B61958" w:rsidRDefault="00B61958" w:rsidP="006866B4">
      <w:pPr>
        <w:pStyle w:val="ListParagraph"/>
        <w:numPr>
          <w:ilvl w:val="0"/>
          <w:numId w:val="8"/>
        </w:numPr>
        <w:spacing w:after="0" w:line="240" w:lineRule="auto"/>
        <w:jc w:val="both"/>
        <w:rPr>
          <w:rFonts w:ascii="Arial" w:hAnsi="Arial" w:cs="Arial"/>
          <w:sz w:val="24"/>
          <w:szCs w:val="32"/>
          <w:lang w:val="en-US"/>
        </w:rPr>
      </w:pPr>
      <w:r w:rsidRPr="00142EE3">
        <w:rPr>
          <w:rFonts w:ascii="Arial" w:hAnsi="Arial" w:cs="Arial"/>
          <w:sz w:val="24"/>
          <w:szCs w:val="32"/>
          <w:lang w:val="en-US"/>
        </w:rPr>
        <w:t>Employee costs were up by $818,017 (7.7 %) compared to the Budget. This is partly due to the increase in salaries paid and partly due to the adjustments needed to be made to the Long Service Leave provisions.</w:t>
      </w:r>
    </w:p>
    <w:p w:rsidR="00B61958" w:rsidRDefault="00B61958" w:rsidP="00B61958">
      <w:pPr>
        <w:pStyle w:val="ListParagraph"/>
        <w:spacing w:after="0" w:line="240" w:lineRule="auto"/>
        <w:jc w:val="both"/>
        <w:rPr>
          <w:rFonts w:ascii="Arial" w:hAnsi="Arial" w:cs="Arial"/>
          <w:sz w:val="24"/>
          <w:szCs w:val="32"/>
          <w:lang w:val="en-US"/>
        </w:rPr>
      </w:pPr>
    </w:p>
    <w:p w:rsidR="00B61958" w:rsidRPr="00142EE3" w:rsidRDefault="00B61958" w:rsidP="006866B4">
      <w:pPr>
        <w:pStyle w:val="ListParagraph"/>
        <w:numPr>
          <w:ilvl w:val="0"/>
          <w:numId w:val="6"/>
        </w:numPr>
        <w:spacing w:after="0" w:line="240" w:lineRule="auto"/>
        <w:jc w:val="both"/>
        <w:rPr>
          <w:rFonts w:ascii="Arial" w:hAnsi="Arial" w:cs="Arial"/>
          <w:sz w:val="24"/>
          <w:szCs w:val="32"/>
          <w:lang w:val="en-US"/>
        </w:rPr>
      </w:pPr>
      <w:r w:rsidRPr="00142EE3">
        <w:rPr>
          <w:rFonts w:ascii="Arial" w:hAnsi="Arial" w:cs="Arial"/>
          <w:sz w:val="24"/>
          <w:szCs w:val="32"/>
          <w:lang w:val="en-US"/>
        </w:rPr>
        <w:t>Materials and Contracts costs are down by $1,151,430 (11.5%) compared to the Budget. This is partly due to the deferment of some operating projects due to factors outside the City’s control, less use of outsourced services, and savings due to a new Waste Services contract in place from December 2013.</w:t>
      </w:r>
    </w:p>
    <w:p w:rsidR="00B61958" w:rsidRDefault="00B61958" w:rsidP="00B61958">
      <w:pPr>
        <w:pStyle w:val="ListParagraph"/>
        <w:spacing w:after="0" w:line="240" w:lineRule="auto"/>
        <w:jc w:val="both"/>
        <w:rPr>
          <w:rFonts w:ascii="Arial" w:hAnsi="Arial" w:cs="Arial"/>
          <w:sz w:val="24"/>
          <w:szCs w:val="32"/>
          <w:lang w:val="en-US"/>
        </w:rPr>
      </w:pPr>
    </w:p>
    <w:p w:rsidR="00B61958" w:rsidRPr="00142EE3" w:rsidRDefault="00B61958" w:rsidP="006866B4">
      <w:pPr>
        <w:pStyle w:val="ListParagraph"/>
        <w:numPr>
          <w:ilvl w:val="0"/>
          <w:numId w:val="6"/>
        </w:numPr>
        <w:spacing w:after="0" w:line="240" w:lineRule="auto"/>
        <w:jc w:val="both"/>
        <w:rPr>
          <w:rFonts w:ascii="Arial" w:hAnsi="Arial" w:cs="Arial"/>
          <w:sz w:val="24"/>
          <w:szCs w:val="32"/>
          <w:lang w:val="en-US"/>
        </w:rPr>
      </w:pPr>
      <w:r w:rsidRPr="00142EE3">
        <w:rPr>
          <w:rFonts w:ascii="Arial" w:hAnsi="Arial" w:cs="Arial"/>
          <w:sz w:val="24"/>
          <w:szCs w:val="32"/>
          <w:lang w:val="en-US"/>
        </w:rPr>
        <w:t>Insurance expenses have come down by $65,618. The drop in premiums reflect the City’s improved risk managed practices resulting in fewer claims by the City.</w:t>
      </w:r>
    </w:p>
    <w:p w:rsidR="00B61958" w:rsidRDefault="00B61958" w:rsidP="00B61958">
      <w:pPr>
        <w:pStyle w:val="ListParagraph"/>
        <w:rPr>
          <w:rFonts w:ascii="Arial" w:hAnsi="Arial" w:cs="Arial"/>
          <w:sz w:val="24"/>
          <w:szCs w:val="32"/>
          <w:lang w:val="en-US"/>
        </w:rPr>
      </w:pPr>
    </w:p>
    <w:p w:rsidR="00B61958" w:rsidRDefault="00B61958" w:rsidP="006866B4">
      <w:pPr>
        <w:pStyle w:val="ListParagraph"/>
        <w:numPr>
          <w:ilvl w:val="0"/>
          <w:numId w:val="6"/>
        </w:numPr>
        <w:rPr>
          <w:rFonts w:ascii="Arial" w:hAnsi="Arial" w:cs="Arial"/>
          <w:sz w:val="24"/>
          <w:szCs w:val="32"/>
          <w:lang w:val="en-US"/>
        </w:rPr>
      </w:pPr>
      <w:r w:rsidRPr="00142EE3">
        <w:rPr>
          <w:rFonts w:ascii="Arial" w:hAnsi="Arial" w:cs="Arial"/>
          <w:sz w:val="24"/>
          <w:szCs w:val="32"/>
          <w:lang w:val="en-US"/>
        </w:rPr>
        <w:t>Other Expenditure is up by $148,690. This was due to the</w:t>
      </w:r>
      <w:r>
        <w:rPr>
          <w:rFonts w:ascii="Arial" w:hAnsi="Arial" w:cs="Arial"/>
          <w:sz w:val="24"/>
          <w:szCs w:val="32"/>
          <w:lang w:val="en-US"/>
        </w:rPr>
        <w:t xml:space="preserve"> </w:t>
      </w:r>
      <w:r w:rsidRPr="00142EE3">
        <w:rPr>
          <w:rFonts w:ascii="Arial" w:hAnsi="Arial" w:cs="Arial"/>
          <w:sz w:val="24"/>
          <w:szCs w:val="32"/>
          <w:lang w:val="en-US"/>
        </w:rPr>
        <w:t>increase in Elected Members’ fees and allowances</w:t>
      </w:r>
      <w:r>
        <w:rPr>
          <w:rFonts w:ascii="Arial" w:hAnsi="Arial" w:cs="Arial"/>
          <w:sz w:val="24"/>
          <w:szCs w:val="32"/>
          <w:lang w:val="en-US"/>
        </w:rPr>
        <w:t xml:space="preserve"> </w:t>
      </w:r>
      <w:r w:rsidRPr="00142EE3">
        <w:rPr>
          <w:rFonts w:ascii="Arial" w:hAnsi="Arial" w:cs="Arial"/>
          <w:sz w:val="24"/>
          <w:szCs w:val="32"/>
          <w:lang w:val="en-US"/>
        </w:rPr>
        <w:t>recommended by the Salaries Tribunal after the Budget had</w:t>
      </w:r>
      <w:r>
        <w:rPr>
          <w:rFonts w:ascii="Arial" w:hAnsi="Arial" w:cs="Arial"/>
          <w:sz w:val="24"/>
          <w:szCs w:val="32"/>
          <w:lang w:val="en-US"/>
        </w:rPr>
        <w:t xml:space="preserve"> </w:t>
      </w:r>
      <w:r w:rsidRPr="00142EE3">
        <w:rPr>
          <w:rFonts w:ascii="Arial" w:hAnsi="Arial" w:cs="Arial"/>
          <w:sz w:val="24"/>
          <w:szCs w:val="32"/>
          <w:lang w:val="en-US"/>
        </w:rPr>
        <w:t>been adopted in June 2013, which more than offset savings in</w:t>
      </w:r>
      <w:r>
        <w:rPr>
          <w:rFonts w:ascii="Arial" w:hAnsi="Arial" w:cs="Arial"/>
          <w:sz w:val="24"/>
          <w:szCs w:val="32"/>
          <w:lang w:val="en-US"/>
        </w:rPr>
        <w:t xml:space="preserve"> </w:t>
      </w:r>
      <w:r w:rsidRPr="00142EE3">
        <w:rPr>
          <w:rFonts w:ascii="Arial" w:hAnsi="Arial" w:cs="Arial"/>
          <w:sz w:val="24"/>
          <w:szCs w:val="32"/>
          <w:lang w:val="en-US"/>
        </w:rPr>
        <w:t>some of the other elements under this heading.</w:t>
      </w:r>
    </w:p>
    <w:p w:rsidR="00B61958" w:rsidRPr="00142EE3" w:rsidRDefault="00B61958" w:rsidP="00B61958">
      <w:pPr>
        <w:pStyle w:val="ListParagraph"/>
        <w:rPr>
          <w:rFonts w:ascii="Arial" w:hAnsi="Arial" w:cs="Arial"/>
          <w:sz w:val="24"/>
          <w:szCs w:val="32"/>
          <w:lang w:val="en-US"/>
        </w:rPr>
      </w:pPr>
    </w:p>
    <w:p w:rsidR="00B61958" w:rsidRPr="00425E9A" w:rsidRDefault="00B61958" w:rsidP="00B61958">
      <w:pPr>
        <w:jc w:val="both"/>
        <w:rPr>
          <w:rFonts w:ascii="Arial" w:hAnsi="Arial" w:cs="Arial"/>
          <w:b/>
          <w:szCs w:val="32"/>
          <w:lang w:val="en-US"/>
        </w:rPr>
      </w:pPr>
      <w:r w:rsidRPr="00425E9A">
        <w:rPr>
          <w:rFonts w:ascii="Arial" w:hAnsi="Arial" w:cs="Arial"/>
          <w:b/>
          <w:szCs w:val="32"/>
          <w:lang w:val="en-US"/>
        </w:rPr>
        <w:t>Capital Works</w:t>
      </w:r>
    </w:p>
    <w:p w:rsidR="00B61958" w:rsidRPr="00142EE3"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142EE3">
        <w:rPr>
          <w:rFonts w:ascii="Arial" w:hAnsi="Arial" w:cs="Arial"/>
          <w:szCs w:val="32"/>
          <w:lang w:val="en-US"/>
        </w:rPr>
        <w:t>During the financial year the City spent $6.71 million in carrying out its</w:t>
      </w:r>
      <w:r>
        <w:rPr>
          <w:rFonts w:ascii="Arial" w:hAnsi="Arial" w:cs="Arial"/>
          <w:szCs w:val="32"/>
          <w:lang w:val="en-US"/>
        </w:rPr>
        <w:t xml:space="preserve"> </w:t>
      </w:r>
      <w:r w:rsidRPr="00142EE3">
        <w:rPr>
          <w:rFonts w:ascii="Arial" w:hAnsi="Arial" w:cs="Arial"/>
          <w:szCs w:val="32"/>
          <w:lang w:val="en-US"/>
        </w:rPr>
        <w:t>capital works program. The major share of the funds, $4.70 million, was</w:t>
      </w:r>
      <w:r>
        <w:rPr>
          <w:rFonts w:ascii="Arial" w:hAnsi="Arial" w:cs="Arial"/>
          <w:szCs w:val="32"/>
          <w:lang w:val="en-US"/>
        </w:rPr>
        <w:t xml:space="preserve"> </w:t>
      </w:r>
      <w:r w:rsidRPr="00142EE3">
        <w:rPr>
          <w:rFonts w:ascii="Arial" w:hAnsi="Arial" w:cs="Arial"/>
          <w:szCs w:val="32"/>
          <w:lang w:val="en-US"/>
        </w:rPr>
        <w:t>utilised in improving infrastructure assets – roads, footpaths, drainage,</w:t>
      </w:r>
      <w:r>
        <w:rPr>
          <w:rFonts w:ascii="Arial" w:hAnsi="Arial" w:cs="Arial"/>
          <w:szCs w:val="32"/>
          <w:lang w:val="en-US"/>
        </w:rPr>
        <w:t xml:space="preserve"> </w:t>
      </w:r>
      <w:r w:rsidRPr="00142EE3">
        <w:rPr>
          <w:rFonts w:ascii="Arial" w:hAnsi="Arial" w:cs="Arial"/>
          <w:szCs w:val="32"/>
          <w:lang w:val="en-US"/>
        </w:rPr>
        <w:t>parks and gardens – with another $2.01 million used for upgrading and</w:t>
      </w:r>
      <w:r>
        <w:rPr>
          <w:rFonts w:ascii="Arial" w:hAnsi="Arial" w:cs="Arial"/>
          <w:szCs w:val="32"/>
          <w:lang w:val="en-US"/>
        </w:rPr>
        <w:t xml:space="preserve"> </w:t>
      </w:r>
      <w:r w:rsidRPr="00142EE3">
        <w:rPr>
          <w:rFonts w:ascii="Arial" w:hAnsi="Arial" w:cs="Arial"/>
          <w:szCs w:val="32"/>
          <w:lang w:val="en-US"/>
        </w:rPr>
        <w:t>renovating the City’s buildings and purchase of plant and equipment.</w:t>
      </w:r>
    </w:p>
    <w:p w:rsidR="00B61958" w:rsidRPr="00142EE3"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142EE3">
        <w:rPr>
          <w:rFonts w:ascii="Arial" w:hAnsi="Arial" w:cs="Arial"/>
          <w:szCs w:val="32"/>
          <w:lang w:val="en-US"/>
        </w:rPr>
        <w:t>The original capital budget for the year was $8.64 million. During the</w:t>
      </w:r>
      <w:r>
        <w:rPr>
          <w:rFonts w:ascii="Arial" w:hAnsi="Arial" w:cs="Arial"/>
          <w:szCs w:val="32"/>
          <w:lang w:val="en-US"/>
        </w:rPr>
        <w:t xml:space="preserve"> </w:t>
      </w:r>
      <w:r w:rsidRPr="00142EE3">
        <w:rPr>
          <w:rFonts w:ascii="Arial" w:hAnsi="Arial" w:cs="Arial"/>
          <w:szCs w:val="32"/>
          <w:lang w:val="en-US"/>
        </w:rPr>
        <w:t>mid-year Budget Review this was amended to $8.10 million. However,</w:t>
      </w:r>
      <w:r>
        <w:rPr>
          <w:rFonts w:ascii="Arial" w:hAnsi="Arial" w:cs="Arial"/>
          <w:szCs w:val="32"/>
          <w:lang w:val="en-US"/>
        </w:rPr>
        <w:t xml:space="preserve"> </w:t>
      </w:r>
      <w:r w:rsidRPr="00142EE3">
        <w:rPr>
          <w:rFonts w:ascii="Arial" w:hAnsi="Arial" w:cs="Arial"/>
          <w:szCs w:val="32"/>
          <w:lang w:val="en-US"/>
        </w:rPr>
        <w:t>a number of projects were not completed during the year and are</w:t>
      </w:r>
      <w:r>
        <w:rPr>
          <w:rFonts w:ascii="Arial" w:hAnsi="Arial" w:cs="Arial"/>
          <w:szCs w:val="32"/>
          <w:lang w:val="en-US"/>
        </w:rPr>
        <w:t xml:space="preserve"> </w:t>
      </w:r>
      <w:r w:rsidRPr="00142EE3">
        <w:rPr>
          <w:rFonts w:ascii="Arial" w:hAnsi="Arial" w:cs="Arial"/>
          <w:szCs w:val="32"/>
          <w:lang w:val="en-US"/>
        </w:rPr>
        <w:t>carried forward to 2014/15. Some of these have been re-budgeted in</w:t>
      </w:r>
      <w:r>
        <w:rPr>
          <w:rFonts w:ascii="Arial" w:hAnsi="Arial" w:cs="Arial"/>
          <w:szCs w:val="32"/>
          <w:lang w:val="en-US"/>
        </w:rPr>
        <w:t xml:space="preserve"> </w:t>
      </w:r>
      <w:r w:rsidRPr="00142EE3">
        <w:rPr>
          <w:rFonts w:ascii="Arial" w:hAnsi="Arial" w:cs="Arial"/>
          <w:szCs w:val="32"/>
          <w:lang w:val="en-US"/>
        </w:rPr>
        <w:t>the 2014/15 budget adopted in June 2014; the funds carried over for</w:t>
      </w:r>
      <w:r>
        <w:rPr>
          <w:rFonts w:ascii="Arial" w:hAnsi="Arial" w:cs="Arial"/>
          <w:szCs w:val="32"/>
          <w:lang w:val="en-US"/>
        </w:rPr>
        <w:t xml:space="preserve"> </w:t>
      </w:r>
      <w:r w:rsidRPr="00142EE3">
        <w:rPr>
          <w:rFonts w:ascii="Arial" w:hAnsi="Arial" w:cs="Arial"/>
          <w:szCs w:val="32"/>
          <w:lang w:val="en-US"/>
        </w:rPr>
        <w:t>those that have not been re-budgeted include:</w:t>
      </w:r>
    </w:p>
    <w:p w:rsidR="00B61958" w:rsidRPr="00142EE3" w:rsidRDefault="00B61958" w:rsidP="00B61958">
      <w:pPr>
        <w:jc w:val="both"/>
        <w:rPr>
          <w:rFonts w:ascii="Arial" w:hAnsi="Arial" w:cs="Arial"/>
          <w:szCs w:val="32"/>
          <w:lang w:val="en-US"/>
        </w:rPr>
      </w:pP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Doonan Road - $ 165,600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West Coast Highway - $ 132,900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Stirling Highway /Hampden - $ 550,000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Elizabeth Street - $ 11,900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Brockway / Brookdale - $ 45,300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Riverview Ct Drainage - $ 16,000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Maisonettes (Carports and Store) - $ 120,000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Daran Park</w:t>
      </w:r>
      <w:r>
        <w:rPr>
          <w:rFonts w:ascii="Arial" w:hAnsi="Arial" w:cs="Arial"/>
          <w:szCs w:val="32"/>
          <w:lang w:val="en-US"/>
        </w:rPr>
        <w:t xml:space="preserve"> </w:t>
      </w:r>
      <w:r w:rsidRPr="00142EE3">
        <w:rPr>
          <w:rFonts w:ascii="Arial" w:hAnsi="Arial" w:cs="Arial"/>
          <w:szCs w:val="32"/>
          <w:lang w:val="en-US"/>
        </w:rPr>
        <w:t>Irrigation Control - $ 94,000</w:t>
      </w:r>
    </w:p>
    <w:p w:rsidR="00B61958" w:rsidRPr="00142EE3" w:rsidRDefault="00B61958" w:rsidP="00B61958">
      <w:pPr>
        <w:ind w:left="1440"/>
        <w:jc w:val="both"/>
        <w:rPr>
          <w:rFonts w:ascii="Arial" w:hAnsi="Arial" w:cs="Arial"/>
          <w:szCs w:val="32"/>
          <w:lang w:val="en-US"/>
        </w:rPr>
      </w:pPr>
      <w:r w:rsidRPr="00142EE3">
        <w:rPr>
          <w:rFonts w:ascii="Arial" w:hAnsi="Arial" w:cs="Arial"/>
          <w:szCs w:val="32"/>
          <w:lang w:val="en-US"/>
        </w:rPr>
        <w:t>College Park Bicycle Facility - $ 63,900</w:t>
      </w:r>
    </w:p>
    <w:p w:rsidR="00B61958" w:rsidRDefault="00B61958" w:rsidP="00B61958">
      <w:pPr>
        <w:ind w:left="1440"/>
        <w:jc w:val="both"/>
        <w:rPr>
          <w:rFonts w:ascii="Arial" w:hAnsi="Arial" w:cs="Arial"/>
          <w:szCs w:val="32"/>
          <w:lang w:val="en-US"/>
        </w:rPr>
      </w:pPr>
      <w:r w:rsidRPr="00142EE3">
        <w:rPr>
          <w:rFonts w:ascii="Arial" w:hAnsi="Arial" w:cs="Arial"/>
          <w:szCs w:val="32"/>
          <w:lang w:val="en-US"/>
        </w:rPr>
        <w:t>Pt Resolution Playground - $ 67,000</w:t>
      </w:r>
    </w:p>
    <w:p w:rsidR="00B61958"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142EE3">
        <w:rPr>
          <w:rFonts w:ascii="Arial" w:hAnsi="Arial" w:cs="Arial"/>
          <w:szCs w:val="32"/>
          <w:lang w:val="en-US"/>
        </w:rPr>
        <w:t>Of the total funds expended on capital works, $536,000 were from grants and</w:t>
      </w:r>
      <w:r>
        <w:rPr>
          <w:rFonts w:ascii="Arial" w:hAnsi="Arial" w:cs="Arial"/>
          <w:szCs w:val="32"/>
          <w:lang w:val="en-US"/>
        </w:rPr>
        <w:t xml:space="preserve"> </w:t>
      </w:r>
      <w:r w:rsidRPr="00142EE3">
        <w:rPr>
          <w:rFonts w:ascii="Arial" w:hAnsi="Arial" w:cs="Arial"/>
          <w:szCs w:val="32"/>
          <w:lang w:val="en-US"/>
        </w:rPr>
        <w:t>contributions. The balance was made up of operating surplus, sale of plant,</w:t>
      </w:r>
      <w:r>
        <w:rPr>
          <w:rFonts w:ascii="Arial" w:hAnsi="Arial" w:cs="Arial"/>
          <w:szCs w:val="32"/>
          <w:lang w:val="en-US"/>
        </w:rPr>
        <w:t xml:space="preserve"> a</w:t>
      </w:r>
      <w:r w:rsidRPr="00142EE3">
        <w:rPr>
          <w:rFonts w:ascii="Arial" w:hAnsi="Arial" w:cs="Arial"/>
          <w:szCs w:val="32"/>
          <w:lang w:val="en-US"/>
        </w:rPr>
        <w:t>nd depreciation write-back.</w:t>
      </w:r>
    </w:p>
    <w:p w:rsidR="00B61958" w:rsidRPr="00142EE3" w:rsidRDefault="00B61958" w:rsidP="00B61958">
      <w:pPr>
        <w:jc w:val="both"/>
        <w:rPr>
          <w:rFonts w:ascii="Arial" w:hAnsi="Arial" w:cs="Arial"/>
          <w:szCs w:val="32"/>
          <w:lang w:val="en-US"/>
        </w:rPr>
      </w:pPr>
    </w:p>
    <w:p w:rsidR="00B61958" w:rsidRDefault="00B61958" w:rsidP="00B61958">
      <w:pPr>
        <w:jc w:val="both"/>
        <w:rPr>
          <w:rFonts w:ascii="Arial" w:hAnsi="Arial" w:cs="Arial"/>
          <w:szCs w:val="32"/>
          <w:lang w:val="en-US"/>
        </w:rPr>
      </w:pPr>
      <w:r w:rsidRPr="00142EE3">
        <w:rPr>
          <w:rFonts w:ascii="Arial" w:hAnsi="Arial" w:cs="Arial"/>
          <w:szCs w:val="32"/>
          <w:lang w:val="en-US"/>
        </w:rPr>
        <w:t>The values of capital works completed in each of the past 5 years is shown in</w:t>
      </w:r>
      <w:r>
        <w:rPr>
          <w:rFonts w:ascii="Arial" w:hAnsi="Arial" w:cs="Arial"/>
          <w:szCs w:val="32"/>
          <w:lang w:val="en-US"/>
        </w:rPr>
        <w:t xml:space="preserve"> </w:t>
      </w:r>
      <w:r w:rsidRPr="00142EE3">
        <w:rPr>
          <w:rFonts w:ascii="Arial" w:hAnsi="Arial" w:cs="Arial"/>
          <w:szCs w:val="32"/>
          <w:lang w:val="en-US"/>
        </w:rPr>
        <w:t>the following chart. It is to be noted that the high value of capital works in</w:t>
      </w:r>
      <w:r>
        <w:rPr>
          <w:rFonts w:ascii="Arial" w:hAnsi="Arial" w:cs="Arial"/>
          <w:szCs w:val="32"/>
          <w:lang w:val="en-US"/>
        </w:rPr>
        <w:t xml:space="preserve"> </w:t>
      </w:r>
      <w:r w:rsidRPr="00142EE3">
        <w:rPr>
          <w:rFonts w:ascii="Arial" w:hAnsi="Arial" w:cs="Arial"/>
          <w:szCs w:val="32"/>
          <w:lang w:val="en-US"/>
        </w:rPr>
        <w:t>2011/12 was due to the renovation of John Leckie Pavilion that year.</w:t>
      </w:r>
    </w:p>
    <w:p w:rsidR="00B61958" w:rsidRDefault="00B61958" w:rsidP="00B61958">
      <w:pPr>
        <w:jc w:val="both"/>
        <w:rPr>
          <w:rFonts w:ascii="Arial" w:hAnsi="Arial" w:cs="Arial"/>
          <w:szCs w:val="32"/>
          <w:lang w:val="en-US"/>
        </w:rPr>
      </w:pPr>
    </w:p>
    <w:p w:rsidR="00B61958" w:rsidRPr="00D47DA5" w:rsidRDefault="00B61958" w:rsidP="00B61958">
      <w:pPr>
        <w:ind w:left="720"/>
        <w:jc w:val="both"/>
        <w:rPr>
          <w:rFonts w:ascii="Arial" w:hAnsi="Arial" w:cs="Arial"/>
          <w:b/>
          <w:szCs w:val="24"/>
        </w:rPr>
      </w:pPr>
      <w:r w:rsidRPr="00D47DA5">
        <w:rPr>
          <w:rFonts w:ascii="Arial" w:hAnsi="Arial" w:cs="Arial"/>
          <w:noProof/>
          <w:szCs w:val="24"/>
          <w:lang w:eastAsia="en-AU"/>
        </w:rPr>
        <w:drawing>
          <wp:anchor distT="0" distB="0" distL="114300" distR="114300" simplePos="0" relativeHeight="251661312" behindDoc="0" locked="0" layoutInCell="1" allowOverlap="1" wp14:anchorId="5A383D87" wp14:editId="3A9D4C1E">
            <wp:simplePos x="0" y="0"/>
            <wp:positionH relativeFrom="column">
              <wp:posOffset>0</wp:posOffset>
            </wp:positionH>
            <wp:positionV relativeFrom="paragraph">
              <wp:posOffset>508635</wp:posOffset>
            </wp:positionV>
            <wp:extent cx="5939790" cy="354330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B61958" w:rsidRPr="00D47DA5" w:rsidRDefault="00B61958" w:rsidP="00B61958">
      <w:pPr>
        <w:ind w:left="720"/>
        <w:jc w:val="center"/>
        <w:rPr>
          <w:rFonts w:ascii="Arial" w:hAnsi="Arial" w:cs="Arial"/>
          <w:b/>
          <w:szCs w:val="24"/>
        </w:rPr>
      </w:pPr>
    </w:p>
    <w:p w:rsidR="00B61958" w:rsidRDefault="00B61958" w:rsidP="00B61958">
      <w:pPr>
        <w:autoSpaceDE w:val="0"/>
        <w:autoSpaceDN w:val="0"/>
        <w:adjustRightInd w:val="0"/>
        <w:rPr>
          <w:rFonts w:ascii="Arial" w:hAnsi="Arial" w:cs="Arial"/>
          <w:b/>
          <w:bCs/>
          <w:iCs/>
          <w:szCs w:val="24"/>
        </w:rPr>
      </w:pPr>
    </w:p>
    <w:p w:rsidR="00B61958" w:rsidRPr="00920D8B" w:rsidRDefault="00B61958" w:rsidP="00B61958">
      <w:pPr>
        <w:autoSpaceDE w:val="0"/>
        <w:autoSpaceDN w:val="0"/>
        <w:adjustRightInd w:val="0"/>
        <w:rPr>
          <w:rFonts w:ascii="Arial" w:hAnsi="Arial" w:cs="Arial"/>
          <w:b/>
          <w:bCs/>
          <w:iCs/>
          <w:szCs w:val="24"/>
        </w:rPr>
      </w:pPr>
      <w:r w:rsidRPr="00920D8B">
        <w:rPr>
          <w:rFonts w:ascii="Arial" w:hAnsi="Arial" w:cs="Arial"/>
          <w:b/>
          <w:bCs/>
          <w:iCs/>
          <w:szCs w:val="24"/>
        </w:rPr>
        <w:t>Revaluation of Assets</w:t>
      </w:r>
    </w:p>
    <w:p w:rsidR="00B61958" w:rsidRDefault="00B61958" w:rsidP="00B61958">
      <w:pPr>
        <w:autoSpaceDE w:val="0"/>
        <w:autoSpaceDN w:val="0"/>
        <w:adjustRightInd w:val="0"/>
        <w:jc w:val="both"/>
        <w:rPr>
          <w:rFonts w:ascii="Arial" w:hAnsi="Arial" w:cs="Arial"/>
          <w:szCs w:val="24"/>
        </w:rPr>
      </w:pPr>
      <w:r w:rsidRPr="00920D8B">
        <w:rPr>
          <w:rFonts w:ascii="Arial" w:hAnsi="Arial" w:cs="Arial"/>
          <w:szCs w:val="24"/>
        </w:rPr>
        <w:t>The City’s Accounting Policy, as well as the Australian Accounting Standards, requires asset classes to be revalued on a regular basis such that the carrying values in the books are not materially different from fair value. Towards the end of 2013/14 financial year the City appointed Griffin Valuation Advisory, independent professional Valuers, to determine the fair value of the City’s Land and Buildings. Based on the outcome of the revaluation, the relevant asset records have been amended effective 30 June 2014. The impact of the revaluation is the recognition in Other Comprehensive Income of a notional gain of $5,630,407, and a corresponding increase in the Asset Revaluation Reserves.</w:t>
      </w:r>
    </w:p>
    <w:p w:rsidR="00B61958" w:rsidRPr="00920D8B" w:rsidRDefault="00B61958" w:rsidP="00B61958">
      <w:pPr>
        <w:autoSpaceDE w:val="0"/>
        <w:autoSpaceDN w:val="0"/>
        <w:adjustRightInd w:val="0"/>
        <w:jc w:val="both"/>
        <w:rPr>
          <w:rFonts w:ascii="Arial" w:hAnsi="Arial" w:cs="Arial"/>
          <w:szCs w:val="24"/>
        </w:rPr>
      </w:pPr>
      <w:r w:rsidRPr="00920D8B">
        <w:rPr>
          <w:rFonts w:ascii="Arial" w:hAnsi="Arial" w:cs="Arial"/>
          <w:szCs w:val="24"/>
        </w:rPr>
        <w:t>It is to be noted that the revaluation does not have any impact on the cash position of the City.</w:t>
      </w:r>
    </w:p>
    <w:p w:rsidR="00B61958" w:rsidRDefault="00B61958" w:rsidP="00B61958">
      <w:pPr>
        <w:ind w:left="720"/>
        <w:jc w:val="both"/>
        <w:rPr>
          <w:rFonts w:ascii="Arial" w:hAnsi="Arial" w:cs="Arial"/>
          <w:b/>
          <w:szCs w:val="24"/>
        </w:rPr>
      </w:pPr>
    </w:p>
    <w:p w:rsidR="00B61958" w:rsidRPr="00920D8B" w:rsidRDefault="00B61958" w:rsidP="00B61958">
      <w:pPr>
        <w:autoSpaceDE w:val="0"/>
        <w:autoSpaceDN w:val="0"/>
        <w:adjustRightInd w:val="0"/>
        <w:rPr>
          <w:rFonts w:ascii="Arial" w:hAnsi="Arial" w:cs="Arial"/>
          <w:b/>
          <w:bCs/>
          <w:iCs/>
          <w:szCs w:val="24"/>
        </w:rPr>
      </w:pPr>
      <w:r w:rsidRPr="00920D8B">
        <w:rPr>
          <w:rFonts w:ascii="Arial" w:hAnsi="Arial" w:cs="Arial"/>
          <w:b/>
          <w:bCs/>
          <w:iCs/>
          <w:szCs w:val="24"/>
        </w:rPr>
        <w:t>Financial Performance Indicators</w:t>
      </w:r>
    </w:p>
    <w:p w:rsidR="00B61958" w:rsidRPr="00920D8B" w:rsidRDefault="00B61958" w:rsidP="00B61958">
      <w:pPr>
        <w:autoSpaceDE w:val="0"/>
        <w:autoSpaceDN w:val="0"/>
        <w:adjustRightInd w:val="0"/>
        <w:jc w:val="both"/>
        <w:rPr>
          <w:rFonts w:ascii="Arial" w:hAnsi="Arial" w:cs="Arial"/>
          <w:szCs w:val="24"/>
        </w:rPr>
      </w:pPr>
      <w:r w:rsidRPr="00920D8B">
        <w:rPr>
          <w:rFonts w:ascii="Arial" w:hAnsi="Arial" w:cs="Arial"/>
          <w:szCs w:val="24"/>
        </w:rPr>
        <w:t>The Financial Ratios in Note 18 to the accounts give an overview of the financial performance of the City in 2013/14 compared with the previous two years. Three of the key indicators are charted below, for the past 5 years.</w:t>
      </w:r>
    </w:p>
    <w:p w:rsidR="00B61958" w:rsidRPr="00920D8B" w:rsidRDefault="00B61958" w:rsidP="00B61958">
      <w:pPr>
        <w:autoSpaceDE w:val="0"/>
        <w:autoSpaceDN w:val="0"/>
        <w:adjustRightInd w:val="0"/>
        <w:jc w:val="both"/>
        <w:rPr>
          <w:rFonts w:ascii="Arial" w:hAnsi="Arial" w:cs="Arial"/>
          <w:szCs w:val="24"/>
        </w:rPr>
      </w:pPr>
    </w:p>
    <w:p w:rsidR="00B61958" w:rsidRPr="00920D8B" w:rsidRDefault="00B61958" w:rsidP="00B61958">
      <w:pPr>
        <w:autoSpaceDE w:val="0"/>
        <w:autoSpaceDN w:val="0"/>
        <w:adjustRightInd w:val="0"/>
        <w:jc w:val="both"/>
        <w:rPr>
          <w:rFonts w:ascii="Arial" w:hAnsi="Arial" w:cs="Arial"/>
          <w:szCs w:val="24"/>
        </w:rPr>
      </w:pPr>
      <w:r w:rsidRPr="00920D8B">
        <w:rPr>
          <w:rFonts w:ascii="Arial" w:hAnsi="Arial" w:cs="Arial"/>
          <w:b/>
          <w:bCs/>
          <w:szCs w:val="24"/>
        </w:rPr>
        <w:t xml:space="preserve">Current Ratio - </w:t>
      </w:r>
      <w:r w:rsidRPr="00920D8B">
        <w:rPr>
          <w:rFonts w:ascii="Arial" w:hAnsi="Arial" w:cs="Arial"/>
          <w:szCs w:val="24"/>
        </w:rPr>
        <w:t>The Current Ratio is a liquidity ratio which indicates the ability of the City to meet its short-term financial obligations out of unrestricted current assets. A ratio greater than 1.00 is preferred. The chart shows that the City has had good liquidity levels of 1.21 to 1.53 over the past 5 years.</w:t>
      </w:r>
    </w:p>
    <w:p w:rsidR="00B61958" w:rsidRPr="00920D8B" w:rsidRDefault="00B61958" w:rsidP="00B61958">
      <w:pPr>
        <w:ind w:left="720"/>
        <w:jc w:val="both"/>
        <w:rPr>
          <w:rFonts w:ascii="Arial" w:hAnsi="Arial" w:cs="Arial"/>
          <w:b/>
          <w:szCs w:val="24"/>
        </w:rPr>
      </w:pPr>
    </w:p>
    <w:tbl>
      <w:tblPr>
        <w:tblW w:w="17100" w:type="dxa"/>
        <w:tblInd w:w="108" w:type="dxa"/>
        <w:tblLook w:val="04A0" w:firstRow="1" w:lastRow="0" w:firstColumn="1" w:lastColumn="0" w:noHBand="0" w:noVBand="1"/>
      </w:tblPr>
      <w:tblGrid>
        <w:gridCol w:w="8316"/>
        <w:gridCol w:w="976"/>
        <w:gridCol w:w="976"/>
        <w:gridCol w:w="976"/>
        <w:gridCol w:w="976"/>
        <w:gridCol w:w="976"/>
        <w:gridCol w:w="976"/>
        <w:gridCol w:w="976"/>
        <w:gridCol w:w="976"/>
        <w:gridCol w:w="976"/>
      </w:tblGrid>
      <w:tr w:rsidR="00B61958" w:rsidRPr="00920D8B" w:rsidTr="00736DE3">
        <w:trPr>
          <w:trHeight w:val="300"/>
        </w:trPr>
        <w:tc>
          <w:tcPr>
            <w:tcW w:w="831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r>
      <w:tr w:rsidR="00B61958" w:rsidRPr="00920D8B" w:rsidTr="00736DE3">
        <w:trPr>
          <w:trHeight w:val="300"/>
        </w:trPr>
        <w:tc>
          <w:tcPr>
            <w:tcW w:w="831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r w:rsidRPr="00920D8B">
              <w:rPr>
                <w:rFonts w:ascii="Arial" w:hAnsi="Arial" w:cs="Arial"/>
                <w:noProof/>
                <w:szCs w:val="24"/>
                <w:lang w:eastAsia="en-AU"/>
              </w:rPr>
              <w:drawing>
                <wp:inline distT="0" distB="0" distL="0" distR="0" wp14:anchorId="3F7E0034" wp14:editId="5FDA948B">
                  <wp:extent cx="513397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60"/>
            </w:tblGrid>
            <w:tr w:rsidR="00B61958" w:rsidRPr="00920D8B" w:rsidTr="00736DE3">
              <w:trPr>
                <w:trHeight w:val="300"/>
                <w:tblCellSpacing w:w="0" w:type="dxa"/>
              </w:trPr>
              <w:tc>
                <w:tcPr>
                  <w:tcW w:w="960"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r>
          </w:tbl>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c>
          <w:tcPr>
            <w:tcW w:w="976" w:type="dxa"/>
            <w:tcBorders>
              <w:top w:val="nil"/>
              <w:left w:val="nil"/>
              <w:bottom w:val="nil"/>
              <w:right w:val="nil"/>
            </w:tcBorders>
            <w:shd w:val="clear" w:color="auto" w:fill="auto"/>
            <w:noWrap/>
            <w:vAlign w:val="bottom"/>
            <w:hideMark/>
          </w:tcPr>
          <w:p w:rsidR="00B61958" w:rsidRPr="00920D8B" w:rsidRDefault="00B61958" w:rsidP="00736DE3">
            <w:pPr>
              <w:rPr>
                <w:rFonts w:ascii="Arial" w:hAnsi="Arial" w:cs="Arial"/>
                <w:color w:val="000000"/>
                <w:szCs w:val="24"/>
                <w:lang w:eastAsia="en-GB"/>
              </w:rPr>
            </w:pPr>
          </w:p>
        </w:tc>
      </w:tr>
    </w:tbl>
    <w:p w:rsidR="00B61958" w:rsidRPr="00920D8B" w:rsidRDefault="00B61958" w:rsidP="00B61958">
      <w:pPr>
        <w:jc w:val="both"/>
        <w:rPr>
          <w:rFonts w:ascii="Arial" w:hAnsi="Arial" w:cs="Arial"/>
          <w:b/>
          <w:bCs/>
          <w:szCs w:val="24"/>
        </w:rPr>
      </w:pPr>
    </w:p>
    <w:p w:rsidR="00B61958" w:rsidRPr="00920D8B" w:rsidRDefault="00B61958" w:rsidP="00B61958">
      <w:pPr>
        <w:autoSpaceDE w:val="0"/>
        <w:autoSpaceDN w:val="0"/>
        <w:adjustRightInd w:val="0"/>
        <w:jc w:val="both"/>
        <w:rPr>
          <w:rFonts w:ascii="Arial" w:hAnsi="Arial" w:cs="Arial"/>
          <w:szCs w:val="24"/>
        </w:rPr>
      </w:pPr>
      <w:r w:rsidRPr="00920D8B">
        <w:rPr>
          <w:rFonts w:ascii="Arial" w:hAnsi="Arial" w:cs="Arial"/>
          <w:b/>
          <w:bCs/>
          <w:szCs w:val="24"/>
        </w:rPr>
        <w:t xml:space="preserve">Debt Service Cover Ratio - </w:t>
      </w:r>
      <w:r w:rsidRPr="00920D8B">
        <w:rPr>
          <w:rFonts w:ascii="Arial" w:hAnsi="Arial" w:cs="Arial"/>
          <w:szCs w:val="24"/>
        </w:rPr>
        <w:t>The Debt Service Cover Ratio measures the capacity of the City to service its debt (principal and interest, as they become due) out of its available operating surplus before interest and depreciation. A basic standard is achieved if the ratio is equal to or greater than 2. The City’s debt service cover ratio was 4.44  for 2013/14, and has been above 3.09 for the past 5 years.</w:t>
      </w:r>
    </w:p>
    <w:p w:rsidR="00B61958" w:rsidRPr="00920D8B" w:rsidRDefault="00B61958" w:rsidP="00B61958">
      <w:pPr>
        <w:jc w:val="both"/>
        <w:rPr>
          <w:rFonts w:ascii="Arial" w:hAnsi="Arial" w:cs="Arial"/>
          <w:szCs w:val="24"/>
        </w:rPr>
      </w:pPr>
    </w:p>
    <w:p w:rsidR="00B61958" w:rsidRPr="00920D8B" w:rsidRDefault="00B61958" w:rsidP="00B61958">
      <w:pPr>
        <w:jc w:val="both"/>
        <w:rPr>
          <w:rFonts w:ascii="Arial" w:hAnsi="Arial" w:cs="Arial"/>
          <w:szCs w:val="24"/>
        </w:rPr>
      </w:pPr>
      <w:r w:rsidRPr="00920D8B">
        <w:rPr>
          <w:rFonts w:ascii="Arial" w:hAnsi="Arial" w:cs="Arial"/>
          <w:noProof/>
          <w:szCs w:val="24"/>
          <w:lang w:eastAsia="en-AU"/>
        </w:rPr>
        <w:drawing>
          <wp:inline distT="0" distB="0" distL="0" distR="0" wp14:anchorId="5F81878A" wp14:editId="07399A52">
            <wp:extent cx="4892040" cy="2466975"/>
            <wp:effectExtent l="0" t="0" r="381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1958" w:rsidRPr="00920D8B" w:rsidRDefault="00B61958" w:rsidP="00B61958">
      <w:pPr>
        <w:autoSpaceDE w:val="0"/>
        <w:autoSpaceDN w:val="0"/>
        <w:adjustRightInd w:val="0"/>
        <w:jc w:val="both"/>
        <w:rPr>
          <w:rFonts w:ascii="Arial" w:hAnsi="Arial" w:cs="Arial"/>
          <w:b/>
          <w:bCs/>
          <w:szCs w:val="24"/>
        </w:rPr>
      </w:pPr>
    </w:p>
    <w:p w:rsidR="00B61958" w:rsidRPr="00920D8B" w:rsidRDefault="00B61958" w:rsidP="00B61958">
      <w:pPr>
        <w:autoSpaceDE w:val="0"/>
        <w:autoSpaceDN w:val="0"/>
        <w:adjustRightInd w:val="0"/>
        <w:jc w:val="both"/>
        <w:rPr>
          <w:rFonts w:ascii="Arial" w:hAnsi="Arial" w:cs="Arial"/>
          <w:szCs w:val="24"/>
        </w:rPr>
      </w:pPr>
      <w:r w:rsidRPr="00920D8B">
        <w:rPr>
          <w:rFonts w:ascii="Arial" w:hAnsi="Arial" w:cs="Arial"/>
          <w:b/>
          <w:bCs/>
          <w:szCs w:val="24"/>
        </w:rPr>
        <w:t xml:space="preserve">Own Source Coverage Ratio - </w:t>
      </w:r>
      <w:r w:rsidRPr="00920D8B">
        <w:rPr>
          <w:rFonts w:ascii="Arial" w:hAnsi="Arial" w:cs="Arial"/>
          <w:szCs w:val="24"/>
        </w:rPr>
        <w:t>This ratio is a measure of the City’s ability to cover its costs through its own revenue efforts – rates and service charges, fees and user charges, reimbursements and recoveries, interest income and profit on disposal of assets.  A ratio in the 60% to 90% range is considered healthy for medium sized local governments without a major source of user-pay fee revenue like parking. The City’s Own Source Coverage Ratio has averaged around the upper limit of the range over the past five years.</w:t>
      </w:r>
    </w:p>
    <w:p w:rsidR="00B61958" w:rsidRPr="00920D8B" w:rsidRDefault="00B61958" w:rsidP="00B61958">
      <w:pPr>
        <w:jc w:val="both"/>
        <w:rPr>
          <w:rFonts w:ascii="Arial" w:hAnsi="Arial" w:cs="Arial"/>
          <w:szCs w:val="24"/>
        </w:rPr>
      </w:pPr>
    </w:p>
    <w:p w:rsidR="00B61958" w:rsidRPr="00920D8B" w:rsidRDefault="00B61958" w:rsidP="00B61958">
      <w:pPr>
        <w:jc w:val="both"/>
        <w:rPr>
          <w:rFonts w:ascii="Arial" w:hAnsi="Arial" w:cs="Arial"/>
          <w:szCs w:val="24"/>
        </w:rPr>
      </w:pPr>
      <w:r w:rsidRPr="00920D8B">
        <w:rPr>
          <w:rFonts w:ascii="Arial" w:hAnsi="Arial" w:cs="Arial"/>
          <w:noProof/>
          <w:szCs w:val="24"/>
          <w:lang w:eastAsia="en-AU"/>
        </w:rPr>
        <w:drawing>
          <wp:inline distT="0" distB="0" distL="0" distR="0" wp14:anchorId="47E1DF74" wp14:editId="3F4650AA">
            <wp:extent cx="4781550" cy="30003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1958" w:rsidRDefault="00B61958" w:rsidP="00B61958">
      <w:pPr>
        <w:autoSpaceDE w:val="0"/>
        <w:autoSpaceDN w:val="0"/>
        <w:adjustRightInd w:val="0"/>
        <w:jc w:val="both"/>
        <w:rPr>
          <w:rFonts w:ascii="Arial" w:hAnsi="Arial" w:cs="Arial"/>
          <w:b/>
          <w:bCs/>
          <w:szCs w:val="24"/>
        </w:rPr>
      </w:pPr>
    </w:p>
    <w:p w:rsidR="00B61958" w:rsidRPr="00920D8B" w:rsidRDefault="00B61958" w:rsidP="00B61958">
      <w:pPr>
        <w:autoSpaceDE w:val="0"/>
        <w:autoSpaceDN w:val="0"/>
        <w:adjustRightInd w:val="0"/>
        <w:jc w:val="both"/>
        <w:rPr>
          <w:rFonts w:ascii="Arial" w:hAnsi="Arial" w:cs="Arial"/>
          <w:b/>
          <w:bCs/>
          <w:szCs w:val="24"/>
        </w:rPr>
      </w:pPr>
    </w:p>
    <w:p w:rsidR="00B61958" w:rsidRPr="00920D8B" w:rsidRDefault="00B61958" w:rsidP="00B61958">
      <w:pPr>
        <w:autoSpaceDE w:val="0"/>
        <w:autoSpaceDN w:val="0"/>
        <w:adjustRightInd w:val="0"/>
        <w:jc w:val="both"/>
        <w:rPr>
          <w:rFonts w:ascii="Arial" w:hAnsi="Arial" w:cs="Arial"/>
          <w:b/>
          <w:bCs/>
          <w:szCs w:val="24"/>
        </w:rPr>
      </w:pPr>
      <w:r w:rsidRPr="00920D8B">
        <w:rPr>
          <w:rFonts w:ascii="Arial" w:hAnsi="Arial" w:cs="Arial"/>
          <w:b/>
          <w:bCs/>
          <w:szCs w:val="24"/>
        </w:rPr>
        <w:t>Receivables</w:t>
      </w:r>
    </w:p>
    <w:p w:rsidR="00B61958" w:rsidRPr="00920D8B" w:rsidRDefault="00B61958" w:rsidP="00B61958">
      <w:pPr>
        <w:autoSpaceDE w:val="0"/>
        <w:autoSpaceDN w:val="0"/>
        <w:adjustRightInd w:val="0"/>
        <w:jc w:val="both"/>
        <w:rPr>
          <w:rFonts w:ascii="Arial" w:hAnsi="Arial" w:cs="Arial"/>
          <w:bCs/>
          <w:szCs w:val="24"/>
        </w:rPr>
      </w:pPr>
      <w:r w:rsidRPr="00920D8B">
        <w:rPr>
          <w:rFonts w:ascii="Arial" w:hAnsi="Arial" w:cs="Arial"/>
          <w:bCs/>
          <w:szCs w:val="24"/>
        </w:rPr>
        <w:t xml:space="preserve">One of the risk factors evaluated in the Notes to the Accounts (Note 32) is receivables – the risk that the debts may not be collected by the City.  </w:t>
      </w:r>
    </w:p>
    <w:p w:rsidR="00B61958" w:rsidRPr="00920D8B" w:rsidRDefault="00B61958" w:rsidP="00B61958">
      <w:pPr>
        <w:autoSpaceDE w:val="0"/>
        <w:autoSpaceDN w:val="0"/>
        <w:adjustRightInd w:val="0"/>
        <w:jc w:val="both"/>
        <w:rPr>
          <w:rFonts w:ascii="Arial" w:hAnsi="Arial" w:cs="Arial"/>
          <w:bCs/>
          <w:szCs w:val="24"/>
        </w:rPr>
      </w:pPr>
    </w:p>
    <w:p w:rsidR="00B61958" w:rsidRPr="00920D8B" w:rsidRDefault="00B61958" w:rsidP="00B61958">
      <w:pPr>
        <w:autoSpaceDE w:val="0"/>
        <w:autoSpaceDN w:val="0"/>
        <w:adjustRightInd w:val="0"/>
        <w:jc w:val="both"/>
        <w:rPr>
          <w:rFonts w:ascii="Arial" w:hAnsi="Arial" w:cs="Arial"/>
          <w:bCs/>
          <w:szCs w:val="24"/>
        </w:rPr>
      </w:pPr>
      <w:r w:rsidRPr="00920D8B">
        <w:rPr>
          <w:rFonts w:ascii="Arial" w:hAnsi="Arial" w:cs="Arial"/>
          <w:bCs/>
          <w:szCs w:val="24"/>
        </w:rPr>
        <w:t>Credit risk on rates and annual charges is minimal as they are charges on the associated properties, and the City has the ability to recover these debts from the sale of the properties if necessary.  The percentage of receivables other than rates shows that the overdue percentage has decreased from 77.03% in 2013 to 48.62% in 2014.   The overdue amount has also decreased from $154,611 in 2013 to $147,523 in 2014.  Of the overdue amount in 2014, 75% is made up of uncollected infringements.</w:t>
      </w:r>
    </w:p>
    <w:p w:rsidR="00B61958" w:rsidRPr="00920D8B" w:rsidRDefault="00B61958" w:rsidP="00B61958">
      <w:pPr>
        <w:autoSpaceDE w:val="0"/>
        <w:autoSpaceDN w:val="0"/>
        <w:adjustRightInd w:val="0"/>
        <w:jc w:val="both"/>
        <w:rPr>
          <w:rFonts w:ascii="Arial" w:hAnsi="Arial" w:cs="Arial"/>
          <w:b/>
          <w:bCs/>
          <w:szCs w:val="24"/>
        </w:rPr>
      </w:pPr>
    </w:p>
    <w:p w:rsidR="00B61958" w:rsidRPr="00920D8B" w:rsidRDefault="00B61958" w:rsidP="00B61958">
      <w:pPr>
        <w:autoSpaceDE w:val="0"/>
        <w:autoSpaceDN w:val="0"/>
        <w:adjustRightInd w:val="0"/>
        <w:jc w:val="both"/>
        <w:rPr>
          <w:rFonts w:ascii="Arial" w:hAnsi="Arial" w:cs="Arial"/>
          <w:b/>
          <w:bCs/>
          <w:szCs w:val="24"/>
        </w:rPr>
      </w:pPr>
      <w:r w:rsidRPr="00920D8B">
        <w:rPr>
          <w:rFonts w:ascii="Arial" w:hAnsi="Arial" w:cs="Arial"/>
          <w:b/>
          <w:bCs/>
          <w:szCs w:val="24"/>
        </w:rPr>
        <w:t>Audit Report</w:t>
      </w:r>
    </w:p>
    <w:p w:rsidR="00B61958" w:rsidRPr="00920D8B" w:rsidRDefault="00B61958" w:rsidP="00B61958">
      <w:pPr>
        <w:autoSpaceDE w:val="0"/>
        <w:autoSpaceDN w:val="0"/>
        <w:adjustRightInd w:val="0"/>
        <w:jc w:val="both"/>
        <w:rPr>
          <w:rFonts w:ascii="Arial" w:hAnsi="Arial" w:cs="Arial"/>
          <w:szCs w:val="24"/>
        </w:rPr>
      </w:pPr>
      <w:r w:rsidRPr="00920D8B">
        <w:rPr>
          <w:rFonts w:ascii="Arial" w:hAnsi="Arial" w:cs="Arial"/>
          <w:szCs w:val="24"/>
        </w:rPr>
        <w:t>The City’s Auditor, Macri Partners, have completed the audit of the Annual Financial Statements in line with current Australian Standards and have stated that they will give an Unqualified Opinion following the meeting with the Audit and Risk Committee.</w:t>
      </w:r>
    </w:p>
    <w:p w:rsidR="00B61958" w:rsidRPr="00B0269E"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Conclusion</w:t>
      </w:r>
    </w:p>
    <w:p w:rsidR="00B61958" w:rsidRPr="00B0269E" w:rsidRDefault="00B61958" w:rsidP="00B61958">
      <w:pPr>
        <w:jc w:val="both"/>
        <w:rPr>
          <w:rFonts w:ascii="Arial" w:hAnsi="Arial" w:cs="Arial"/>
          <w:b/>
          <w:szCs w:val="32"/>
          <w:lang w:val="en-US"/>
        </w:rPr>
      </w:pPr>
    </w:p>
    <w:p w:rsidR="00B61958" w:rsidRDefault="00B61958" w:rsidP="00B61958">
      <w:pPr>
        <w:jc w:val="both"/>
        <w:rPr>
          <w:rFonts w:ascii="Arial" w:hAnsi="Arial" w:cs="Arial"/>
          <w:szCs w:val="32"/>
          <w:lang w:val="en-US"/>
        </w:rPr>
      </w:pPr>
      <w:r w:rsidRPr="009D2E8C">
        <w:rPr>
          <w:rFonts w:ascii="Arial" w:hAnsi="Arial" w:cs="Arial"/>
          <w:szCs w:val="32"/>
          <w:lang w:val="en-US"/>
        </w:rPr>
        <w:t>Council</w:t>
      </w:r>
      <w:r>
        <w:rPr>
          <w:rFonts w:ascii="Arial" w:hAnsi="Arial" w:cs="Arial"/>
          <w:szCs w:val="32"/>
          <w:lang w:val="en-US"/>
        </w:rPr>
        <w:t>’s</w:t>
      </w:r>
      <w:r w:rsidRPr="009D2E8C">
        <w:rPr>
          <w:rFonts w:ascii="Arial" w:hAnsi="Arial" w:cs="Arial"/>
          <w:szCs w:val="32"/>
          <w:lang w:val="en-US"/>
        </w:rPr>
        <w:t xml:space="preserve"> acceptance of the </w:t>
      </w:r>
      <w:r>
        <w:rPr>
          <w:rFonts w:ascii="Arial" w:hAnsi="Arial" w:cs="Arial"/>
          <w:szCs w:val="32"/>
          <w:lang w:val="en-US"/>
        </w:rPr>
        <w:t xml:space="preserve">Annual </w:t>
      </w:r>
      <w:r w:rsidRPr="009D2E8C">
        <w:rPr>
          <w:rFonts w:ascii="Arial" w:hAnsi="Arial" w:cs="Arial"/>
          <w:szCs w:val="32"/>
          <w:lang w:val="en-US"/>
        </w:rPr>
        <w:t xml:space="preserve">for the City of Nedlands for the year ended 30 June 2013 comprising the </w:t>
      </w:r>
      <w:r>
        <w:rPr>
          <w:rFonts w:ascii="Arial" w:hAnsi="Arial" w:cs="Arial"/>
          <w:szCs w:val="32"/>
          <w:lang w:val="en-US"/>
        </w:rPr>
        <w:t xml:space="preserve">Annual report, </w:t>
      </w:r>
      <w:r w:rsidRPr="009D2E8C">
        <w:rPr>
          <w:rFonts w:ascii="Arial" w:hAnsi="Arial" w:cs="Arial"/>
          <w:szCs w:val="32"/>
          <w:lang w:val="en-US"/>
        </w:rPr>
        <w:t>Financial</w:t>
      </w:r>
      <w:r>
        <w:rPr>
          <w:rFonts w:ascii="Arial" w:hAnsi="Arial" w:cs="Arial"/>
          <w:szCs w:val="32"/>
          <w:lang w:val="en-US"/>
        </w:rPr>
        <w:t xml:space="preserve"> </w:t>
      </w:r>
      <w:r w:rsidRPr="009D2E8C">
        <w:rPr>
          <w:rFonts w:ascii="Arial" w:hAnsi="Arial" w:cs="Arial"/>
          <w:szCs w:val="32"/>
          <w:lang w:val="en-US"/>
        </w:rPr>
        <w:t>Report and the Auditor’s Report</w:t>
      </w:r>
      <w:r>
        <w:rPr>
          <w:rFonts w:ascii="Arial" w:hAnsi="Arial" w:cs="Arial"/>
          <w:szCs w:val="32"/>
          <w:lang w:val="en-US"/>
        </w:rPr>
        <w:t xml:space="preserve"> is recommended</w:t>
      </w:r>
      <w:r w:rsidRPr="009D2E8C">
        <w:rPr>
          <w:rFonts w:ascii="Arial" w:hAnsi="Arial" w:cs="Arial"/>
          <w:szCs w:val="32"/>
          <w:lang w:val="en-US"/>
        </w:rPr>
        <w:t>.</w:t>
      </w:r>
    </w:p>
    <w:p w:rsidR="00B61958" w:rsidRDefault="00B61958" w:rsidP="00B61958">
      <w:pPr>
        <w:jc w:val="both"/>
        <w:rPr>
          <w:rFonts w:ascii="Arial" w:hAnsi="Arial" w:cs="Arial"/>
          <w:szCs w:val="32"/>
          <w:lang w:val="en-US"/>
        </w:rPr>
      </w:pPr>
    </w:p>
    <w:p w:rsidR="00B61958" w:rsidRPr="00B0269E" w:rsidRDefault="00B61958" w:rsidP="00B61958">
      <w:pPr>
        <w:jc w:val="both"/>
        <w:rPr>
          <w:rFonts w:ascii="Arial" w:hAnsi="Arial" w:cs="Arial"/>
          <w:b/>
          <w:sz w:val="28"/>
          <w:szCs w:val="32"/>
          <w:lang w:val="en-US"/>
        </w:rPr>
      </w:pPr>
      <w:r w:rsidRPr="00B0269E">
        <w:rPr>
          <w:rFonts w:ascii="Arial" w:hAnsi="Arial" w:cs="Arial"/>
          <w:b/>
          <w:sz w:val="28"/>
          <w:szCs w:val="32"/>
          <w:lang w:val="en-US"/>
        </w:rPr>
        <w:t>Attachments</w:t>
      </w:r>
    </w:p>
    <w:p w:rsidR="00B61958" w:rsidRPr="00B0269E" w:rsidRDefault="00B61958" w:rsidP="00B61958">
      <w:pPr>
        <w:jc w:val="both"/>
        <w:rPr>
          <w:rFonts w:ascii="Arial" w:hAnsi="Arial" w:cs="Arial"/>
          <w:b/>
          <w:szCs w:val="32"/>
          <w:lang w:val="en-US"/>
        </w:rPr>
      </w:pPr>
    </w:p>
    <w:p w:rsidR="00B61958" w:rsidRPr="00B0269E" w:rsidRDefault="00B61958" w:rsidP="006866B4">
      <w:pPr>
        <w:numPr>
          <w:ilvl w:val="0"/>
          <w:numId w:val="5"/>
        </w:numPr>
        <w:ind w:left="426" w:hanging="426"/>
        <w:jc w:val="both"/>
        <w:rPr>
          <w:rFonts w:ascii="Arial" w:hAnsi="Arial" w:cs="Arial"/>
          <w:szCs w:val="32"/>
          <w:lang w:val="en-US"/>
        </w:rPr>
      </w:pPr>
      <w:r>
        <w:rPr>
          <w:rFonts w:ascii="Arial" w:hAnsi="Arial" w:cs="Arial"/>
          <w:szCs w:val="32"/>
          <w:lang w:val="en-US"/>
        </w:rPr>
        <w:t>Annual Report 2013-2014</w:t>
      </w:r>
    </w:p>
    <w:p w:rsidR="00B61958" w:rsidRPr="00B0269E" w:rsidRDefault="00B61958" w:rsidP="006866B4">
      <w:pPr>
        <w:numPr>
          <w:ilvl w:val="0"/>
          <w:numId w:val="5"/>
        </w:numPr>
        <w:ind w:left="426" w:hanging="426"/>
        <w:jc w:val="both"/>
        <w:rPr>
          <w:rFonts w:ascii="Arial" w:hAnsi="Arial" w:cs="Arial"/>
          <w:szCs w:val="32"/>
          <w:lang w:val="en-US"/>
        </w:rPr>
      </w:pPr>
      <w:r>
        <w:rPr>
          <w:rFonts w:ascii="Arial" w:hAnsi="Arial" w:cs="Arial"/>
          <w:szCs w:val="32"/>
          <w:lang w:val="en-US"/>
        </w:rPr>
        <w:t>Financial Report 2013-2014</w:t>
      </w:r>
    </w:p>
    <w:p w:rsidR="00B61958" w:rsidRDefault="00B61958" w:rsidP="00B61958">
      <w:pPr>
        <w:jc w:val="both"/>
        <w:rPr>
          <w:rFonts w:ascii="Arial" w:hAnsi="Arial" w:cs="Arial"/>
          <w:szCs w:val="24"/>
        </w:rPr>
      </w:pPr>
    </w:p>
    <w:p w:rsidR="003E1309" w:rsidRDefault="003E1309" w:rsidP="00765E9D">
      <w:pPr>
        <w:pStyle w:val="CouncilHeading"/>
        <w:ind w:left="720"/>
        <w:rPr>
          <w:rFonts w:ascii="Arial" w:hAnsi="Arial" w:cs="Arial"/>
          <w:szCs w:val="24"/>
          <w:u w:val="none"/>
        </w:rPr>
      </w:pPr>
    </w:p>
    <w:p w:rsidR="003E1309" w:rsidRDefault="003E1309" w:rsidP="00765E9D">
      <w:pPr>
        <w:pStyle w:val="CouncilHeading"/>
        <w:ind w:left="720"/>
        <w:rPr>
          <w:rFonts w:ascii="Arial" w:hAnsi="Arial" w:cs="Arial"/>
          <w:szCs w:val="24"/>
          <w:u w:val="none"/>
        </w:rPr>
      </w:pPr>
    </w:p>
    <w:p w:rsidR="00D05D60" w:rsidRPr="00180419" w:rsidRDefault="00A53BD3" w:rsidP="00765E9D">
      <w:pPr>
        <w:pStyle w:val="Heading1"/>
        <w:numPr>
          <w:ilvl w:val="0"/>
          <w:numId w:val="0"/>
        </w:numPr>
        <w:spacing w:before="0" w:after="0"/>
        <w:rPr>
          <w:rFonts w:ascii="Arial" w:hAnsi="Arial" w:cs="Arial"/>
          <w:sz w:val="24"/>
          <w:szCs w:val="24"/>
          <w:u w:val="none"/>
        </w:rPr>
      </w:pPr>
      <w:bookmarkStart w:id="17" w:name="_Toc405298594"/>
      <w:r w:rsidRPr="00180419">
        <w:rPr>
          <w:rFonts w:ascii="Arial" w:hAnsi="Arial" w:cs="Arial"/>
          <w:caps w:val="0"/>
          <w:sz w:val="24"/>
          <w:szCs w:val="24"/>
          <w:u w:val="none"/>
        </w:rPr>
        <w:t>Declaration of Closure</w:t>
      </w:r>
      <w:bookmarkEnd w:id="17"/>
    </w:p>
    <w:p w:rsidR="00D05D60" w:rsidRPr="00180419" w:rsidRDefault="00D05D60" w:rsidP="00765E9D">
      <w:pPr>
        <w:jc w:val="both"/>
        <w:rPr>
          <w:rFonts w:ascii="Arial" w:hAnsi="Arial" w:cs="Arial"/>
          <w:szCs w:val="24"/>
        </w:rPr>
      </w:pPr>
    </w:p>
    <w:p w:rsidR="00D05D60" w:rsidRPr="00180419" w:rsidRDefault="001170E1" w:rsidP="00765E9D">
      <w:pPr>
        <w:jc w:val="both"/>
        <w:rPr>
          <w:rFonts w:ascii="Arial" w:hAnsi="Arial" w:cs="Arial"/>
          <w:szCs w:val="24"/>
        </w:rPr>
      </w:pPr>
      <w:r>
        <w:rPr>
          <w:rFonts w:ascii="Arial" w:hAnsi="Arial" w:cs="Arial"/>
          <w:noProof/>
          <w:szCs w:val="24"/>
          <w:lang w:eastAsia="en-AU"/>
        </w:rPr>
        <w:drawing>
          <wp:anchor distT="0" distB="0" distL="114300" distR="114300" simplePos="0" relativeHeight="251659264" behindDoc="1" locked="0" layoutInCell="1" allowOverlap="1" wp14:anchorId="0444C5A7" wp14:editId="601DC31F">
            <wp:simplePos x="0" y="0"/>
            <wp:positionH relativeFrom="column">
              <wp:posOffset>-762635</wp:posOffset>
            </wp:positionH>
            <wp:positionV relativeFrom="paragraph">
              <wp:posOffset>167005</wp:posOffset>
            </wp:positionV>
            <wp:extent cx="2936240" cy="1449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6240" cy="1449070"/>
                    </a:xfrm>
                    <a:prstGeom prst="rect">
                      <a:avLst/>
                    </a:prstGeom>
                    <a:noFill/>
                  </pic:spPr>
                </pic:pic>
              </a:graphicData>
            </a:graphic>
            <wp14:sizeRelH relativeFrom="page">
              <wp14:pctWidth>0</wp14:pctWidth>
            </wp14:sizeRelH>
            <wp14:sizeRelV relativeFrom="page">
              <wp14:pctHeight>0</wp14:pctHeight>
            </wp14:sizeRelV>
          </wp:anchor>
        </w:drawing>
      </w:r>
      <w:r w:rsidR="00D05D60" w:rsidRPr="00180419">
        <w:rPr>
          <w:rFonts w:ascii="Arial" w:hAnsi="Arial" w:cs="Arial"/>
          <w:szCs w:val="24"/>
        </w:rPr>
        <w:t>There being no further business, the Presiding Member will declare the meeting closed.</w:t>
      </w: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765E9D" w:rsidRPr="00180419" w:rsidRDefault="00765E9D" w:rsidP="00765E9D">
      <w:pPr>
        <w:tabs>
          <w:tab w:val="left" w:pos="720"/>
          <w:tab w:val="left" w:pos="1440"/>
          <w:tab w:val="left" w:pos="2410"/>
          <w:tab w:val="left" w:pos="2977"/>
          <w:tab w:val="right" w:pos="8335"/>
          <w:tab w:val="right" w:pos="8505"/>
        </w:tabs>
        <w:jc w:val="both"/>
        <w:rPr>
          <w:rFonts w:ascii="Arial" w:hAnsi="Arial" w:cs="Arial"/>
          <w:szCs w:val="24"/>
        </w:rPr>
      </w:pPr>
    </w:p>
    <w:p w:rsidR="00AE4E86" w:rsidRPr="004950A5" w:rsidRDefault="00176DEE" w:rsidP="00AE4E8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Greg Trevaskis</w:t>
      </w:r>
    </w:p>
    <w:p w:rsidR="00AE4E86" w:rsidRPr="004950A5" w:rsidRDefault="00AE4E86" w:rsidP="00AE4E8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3"/>
      <w:footerReference w:type="even" r:id="rId24"/>
      <w:footerReference w:type="default" r:id="rId25"/>
      <w:footerReference w:type="first" r:id="rId2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F0" w:rsidRDefault="004B03F0" w:rsidP="00D05D60">
      <w:pPr>
        <w:pStyle w:val="TOC3"/>
      </w:pPr>
      <w:r>
        <w:separator/>
      </w:r>
    </w:p>
  </w:endnote>
  <w:endnote w:type="continuationSeparator" w:id="0">
    <w:p w:rsidR="004B03F0" w:rsidRDefault="004B03F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Default="00BF6F64">
    <w:pPr>
      <w:pStyle w:val="Footer"/>
      <w:framePr w:wrap="around" w:vAnchor="text" w:hAnchor="margin" w:xAlign="right" w:y="1"/>
      <w:rPr>
        <w:rStyle w:val="PageNumber"/>
      </w:rPr>
    </w:pPr>
    <w:r>
      <w:rPr>
        <w:rStyle w:val="PageNumber"/>
      </w:rPr>
      <w:fldChar w:fldCharType="begin"/>
    </w:r>
    <w:r w:rsidR="000575F3">
      <w:rPr>
        <w:rStyle w:val="PageNumber"/>
      </w:rPr>
      <w:instrText xml:space="preserve">PAGE  </w:instrText>
    </w:r>
    <w:r>
      <w:rPr>
        <w:rStyle w:val="PageNumber"/>
      </w:rPr>
      <w:fldChar w:fldCharType="end"/>
    </w:r>
  </w:p>
  <w:p w:rsidR="000575F3" w:rsidRDefault="000575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0575F3"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FF3290">
      <w:rPr>
        <w:rStyle w:val="PageNumber"/>
        <w:rFonts w:ascii="Arial" w:hAnsi="Arial" w:cs="Arial"/>
        <w:noProof/>
        <w:sz w:val="22"/>
        <w:szCs w:val="22"/>
      </w:rPr>
      <w:t>2</w:t>
    </w:r>
    <w:r w:rsidRPr="00180419">
      <w:rPr>
        <w:rStyle w:val="PageNumber"/>
        <w:rFonts w:ascii="Arial" w:hAnsi="Arial" w:cs="Arial"/>
        <w:sz w:val="22"/>
        <w:szCs w:val="22"/>
      </w:rPr>
      <w:fldChar w:fldCharType="end"/>
    </w:r>
  </w:p>
  <w:p w:rsidR="000575F3" w:rsidRPr="00180419" w:rsidRDefault="000575F3">
    <w:pPr>
      <w:pStyle w:val="Footer"/>
      <w:ind w:right="360"/>
      <w:rPr>
        <w:rFonts w:ascii="Arial" w:hAnsi="Arial" w:cs="Arial"/>
        <w:sz w:val="22"/>
        <w:szCs w:val="22"/>
      </w:rPr>
    </w:pPr>
    <w:r>
      <w:rPr>
        <w:rFonts w:ascii="Arial" w:hAnsi="Arial" w:cs="Arial"/>
        <w:sz w:val="22"/>
        <w:szCs w:val="22"/>
      </w:rPr>
      <w:t>C13/116</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0575F3"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FF3290">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0575F3" w:rsidRPr="00180419" w:rsidRDefault="000575F3" w:rsidP="00B61958">
    <w:pPr>
      <w:pStyle w:val="Footer"/>
      <w:ind w:right="360"/>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Default="00BF6F64">
    <w:pPr>
      <w:pStyle w:val="Footer"/>
      <w:framePr w:wrap="around" w:vAnchor="text" w:hAnchor="margin" w:xAlign="right" w:y="1"/>
      <w:rPr>
        <w:rStyle w:val="PageNumber"/>
      </w:rPr>
    </w:pPr>
    <w:r>
      <w:rPr>
        <w:rStyle w:val="PageNumber"/>
      </w:rPr>
      <w:fldChar w:fldCharType="begin"/>
    </w:r>
    <w:r w:rsidR="000575F3">
      <w:rPr>
        <w:rStyle w:val="PageNumber"/>
      </w:rPr>
      <w:instrText xml:space="preserve">PAGE  </w:instrText>
    </w:r>
    <w:r>
      <w:rPr>
        <w:rStyle w:val="PageNumber"/>
      </w:rPr>
      <w:fldChar w:fldCharType="end"/>
    </w:r>
  </w:p>
  <w:p w:rsidR="000575F3" w:rsidRDefault="000575F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0575F3"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FF3290">
      <w:rPr>
        <w:rStyle w:val="PageNumber"/>
        <w:rFonts w:ascii="Arial" w:hAnsi="Arial" w:cs="Arial"/>
        <w:noProof/>
        <w:sz w:val="22"/>
        <w:szCs w:val="22"/>
      </w:rPr>
      <w:t>13</w:t>
    </w:r>
    <w:r w:rsidRPr="00180419">
      <w:rPr>
        <w:rStyle w:val="PageNumber"/>
        <w:rFonts w:ascii="Arial" w:hAnsi="Arial" w:cs="Arial"/>
        <w:sz w:val="22"/>
        <w:szCs w:val="22"/>
      </w:rPr>
      <w:fldChar w:fldCharType="end"/>
    </w:r>
  </w:p>
  <w:p w:rsidR="000575F3" w:rsidRPr="00180419" w:rsidRDefault="000575F3" w:rsidP="00B61958">
    <w:pPr>
      <w:pStyle w:val="Footer"/>
      <w:ind w:right="360"/>
      <w:rPr>
        <w:rFonts w:ascii="Arial" w:hAnsi="Arial" w:cs="Arial"/>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0575F3"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FF3290">
      <w:rPr>
        <w:rStyle w:val="PageNumber"/>
        <w:rFonts w:ascii="Arial" w:hAnsi="Arial" w:cs="Arial"/>
        <w:noProof/>
        <w:sz w:val="22"/>
        <w:szCs w:val="22"/>
      </w:rPr>
      <w:t>3</w:t>
    </w:r>
    <w:r w:rsidRPr="00180419">
      <w:rPr>
        <w:rStyle w:val="PageNumber"/>
        <w:rFonts w:ascii="Arial" w:hAnsi="Arial" w:cs="Arial"/>
        <w:sz w:val="22"/>
        <w:szCs w:val="22"/>
      </w:rPr>
      <w:fldChar w:fldCharType="end"/>
    </w:r>
  </w:p>
  <w:p w:rsidR="000575F3" w:rsidRPr="00180419" w:rsidRDefault="000575F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F0" w:rsidRDefault="004B03F0" w:rsidP="00D05D60">
      <w:pPr>
        <w:pStyle w:val="TOC3"/>
      </w:pPr>
      <w:r>
        <w:separator/>
      </w:r>
    </w:p>
  </w:footnote>
  <w:footnote w:type="continuationSeparator" w:id="0">
    <w:p w:rsidR="004B03F0" w:rsidRDefault="004B03F0" w:rsidP="00D05D60">
      <w:pPr>
        <w:pStyle w:val="TOC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0575F3" w:rsidP="00180419">
    <w:pPr>
      <w:pStyle w:val="Header"/>
      <w:jc w:val="right"/>
      <w:rPr>
        <w:rFonts w:ascii="Arial" w:hAnsi="Arial"/>
        <w:sz w:val="22"/>
      </w:rPr>
    </w:pPr>
    <w:r>
      <w:rPr>
        <w:rFonts w:ascii="Arial" w:hAnsi="Arial"/>
        <w:sz w:val="22"/>
      </w:rPr>
      <w:t xml:space="preserve">Special </w:t>
    </w:r>
    <w:r w:rsidRPr="00180419">
      <w:rPr>
        <w:rFonts w:ascii="Arial" w:hAnsi="Arial"/>
        <w:sz w:val="22"/>
      </w:rPr>
      <w:t>Council Agenda</w:t>
    </w:r>
    <w:r>
      <w:rPr>
        <w:rFonts w:ascii="Arial" w:hAnsi="Arial"/>
        <w:sz w:val="22"/>
      </w:rPr>
      <w:t xml:space="preserve"> </w:t>
    </w:r>
    <w:r w:rsidR="00B61958">
      <w:rPr>
        <w:rFonts w:ascii="Arial" w:hAnsi="Arial"/>
        <w:sz w:val="22"/>
      </w:rPr>
      <w:t>9 December 2014</w:t>
    </w:r>
  </w:p>
  <w:p w:rsidR="000575F3" w:rsidRDefault="00057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A6C2C"/>
    <w:multiLevelType w:val="hybridMultilevel"/>
    <w:tmpl w:val="9B441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4120C4"/>
    <w:multiLevelType w:val="hybridMultilevel"/>
    <w:tmpl w:val="A8AC4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34B426B4"/>
    <w:multiLevelType w:val="hybridMultilevel"/>
    <w:tmpl w:val="AE6AAC66"/>
    <w:lvl w:ilvl="0" w:tplc="15B407D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6">
    <w:nsid w:val="623C6D2D"/>
    <w:multiLevelType w:val="hybridMultilevel"/>
    <w:tmpl w:val="4860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5"/>
  </w:num>
  <w:num w:numId="3">
    <w:abstractNumId w:val="2"/>
  </w:num>
  <w:num w:numId="4">
    <w:abstractNumId w:val="8"/>
  </w:num>
  <w:num w:numId="5">
    <w:abstractNumId w:val="7"/>
  </w:num>
  <w:num w:numId="6">
    <w:abstractNumId w:val="0"/>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8D"/>
    <w:rsid w:val="00012C59"/>
    <w:rsid w:val="00013F59"/>
    <w:rsid w:val="00031B19"/>
    <w:rsid w:val="000575F3"/>
    <w:rsid w:val="00085B7F"/>
    <w:rsid w:val="000B309E"/>
    <w:rsid w:val="000E0501"/>
    <w:rsid w:val="000E6876"/>
    <w:rsid w:val="00107A55"/>
    <w:rsid w:val="001126B8"/>
    <w:rsid w:val="001170E1"/>
    <w:rsid w:val="00124B02"/>
    <w:rsid w:val="00146D00"/>
    <w:rsid w:val="00176DEE"/>
    <w:rsid w:val="00180419"/>
    <w:rsid w:val="00182CC1"/>
    <w:rsid w:val="001B0C54"/>
    <w:rsid w:val="00220E5F"/>
    <w:rsid w:val="0023480C"/>
    <w:rsid w:val="00257F09"/>
    <w:rsid w:val="00272A75"/>
    <w:rsid w:val="00285009"/>
    <w:rsid w:val="003311C9"/>
    <w:rsid w:val="00355804"/>
    <w:rsid w:val="003B65B2"/>
    <w:rsid w:val="003D10A2"/>
    <w:rsid w:val="003E1309"/>
    <w:rsid w:val="003E2BA4"/>
    <w:rsid w:val="003E516E"/>
    <w:rsid w:val="003F4684"/>
    <w:rsid w:val="00414CEC"/>
    <w:rsid w:val="0044714C"/>
    <w:rsid w:val="00450229"/>
    <w:rsid w:val="004527E4"/>
    <w:rsid w:val="00463F73"/>
    <w:rsid w:val="00465A04"/>
    <w:rsid w:val="00477C38"/>
    <w:rsid w:val="004B03F0"/>
    <w:rsid w:val="004C5F20"/>
    <w:rsid w:val="004D4709"/>
    <w:rsid w:val="00516A8D"/>
    <w:rsid w:val="00550A22"/>
    <w:rsid w:val="00551112"/>
    <w:rsid w:val="00562866"/>
    <w:rsid w:val="0058576F"/>
    <w:rsid w:val="005B6BE0"/>
    <w:rsid w:val="005E18E4"/>
    <w:rsid w:val="006176FF"/>
    <w:rsid w:val="006230C9"/>
    <w:rsid w:val="00683A50"/>
    <w:rsid w:val="006866B4"/>
    <w:rsid w:val="0069679E"/>
    <w:rsid w:val="0070410F"/>
    <w:rsid w:val="0071406B"/>
    <w:rsid w:val="00714DCA"/>
    <w:rsid w:val="007501E3"/>
    <w:rsid w:val="00751290"/>
    <w:rsid w:val="00765E9D"/>
    <w:rsid w:val="007B2AD2"/>
    <w:rsid w:val="007D162E"/>
    <w:rsid w:val="008313F0"/>
    <w:rsid w:val="008326C6"/>
    <w:rsid w:val="0086268C"/>
    <w:rsid w:val="008766D4"/>
    <w:rsid w:val="008D5B76"/>
    <w:rsid w:val="008E5A62"/>
    <w:rsid w:val="00927A88"/>
    <w:rsid w:val="009368F4"/>
    <w:rsid w:val="0095033D"/>
    <w:rsid w:val="009507BB"/>
    <w:rsid w:val="00977FCC"/>
    <w:rsid w:val="00980917"/>
    <w:rsid w:val="0098368E"/>
    <w:rsid w:val="009D5E4C"/>
    <w:rsid w:val="009E2D4C"/>
    <w:rsid w:val="009F05B8"/>
    <w:rsid w:val="00A53261"/>
    <w:rsid w:val="00A53BD3"/>
    <w:rsid w:val="00A53C37"/>
    <w:rsid w:val="00A773D3"/>
    <w:rsid w:val="00AD1A48"/>
    <w:rsid w:val="00AE4443"/>
    <w:rsid w:val="00AE4E86"/>
    <w:rsid w:val="00AE59BD"/>
    <w:rsid w:val="00B1257B"/>
    <w:rsid w:val="00B60CB0"/>
    <w:rsid w:val="00B61958"/>
    <w:rsid w:val="00B82A6C"/>
    <w:rsid w:val="00BB7A76"/>
    <w:rsid w:val="00BF6F64"/>
    <w:rsid w:val="00C06047"/>
    <w:rsid w:val="00C2622D"/>
    <w:rsid w:val="00C356FC"/>
    <w:rsid w:val="00C504CE"/>
    <w:rsid w:val="00C60F0F"/>
    <w:rsid w:val="00C6315F"/>
    <w:rsid w:val="00C66BB9"/>
    <w:rsid w:val="00C7367D"/>
    <w:rsid w:val="00CE76CD"/>
    <w:rsid w:val="00D05D60"/>
    <w:rsid w:val="00DA33AE"/>
    <w:rsid w:val="00DC077B"/>
    <w:rsid w:val="00DC47D1"/>
    <w:rsid w:val="00E77B8E"/>
    <w:rsid w:val="00E9360C"/>
    <w:rsid w:val="00F100D8"/>
    <w:rsid w:val="00F47226"/>
    <w:rsid w:val="00F547FF"/>
    <w:rsid w:val="00F844FE"/>
    <w:rsid w:val="00F90ED0"/>
    <w:rsid w:val="00FD0239"/>
    <w:rsid w:val="00FE5471"/>
    <w:rsid w:val="00FF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5DA9D"/>
  <w15:docId w15:val="{1A8DBF82-647F-431E-912F-700544B9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ListParagraph">
    <w:name w:val="List Paragraph"/>
    <w:basedOn w:val="Normal"/>
    <w:uiPriority w:val="34"/>
    <w:qFormat/>
    <w:rsid w:val="003E1309"/>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B6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5254611934675525"/>
          <c:y val="2.0356234096692113E-2"/>
        </c:manualLayout>
      </c:layout>
      <c:overlay val="0"/>
    </c:title>
    <c:autoTitleDeleted val="0"/>
    <c:plotArea>
      <c:layout>
        <c:manualLayout>
          <c:layoutTarget val="inner"/>
          <c:xMode val="edge"/>
          <c:yMode val="edge"/>
          <c:x val="0.14048121911182512"/>
          <c:y val="2.4582153816875611E-2"/>
          <c:w val="0.8595187808881749"/>
          <c:h val="0.79363893712681699"/>
        </c:manualLayout>
      </c:layout>
      <c:barChart>
        <c:barDir val="col"/>
        <c:grouping val="clustered"/>
        <c:varyColors val="0"/>
        <c:ser>
          <c:idx val="0"/>
          <c:order val="0"/>
          <c:tx>
            <c:strRef>
              <c:f>'Capital Works'!$A$3:$D$3</c:f>
              <c:strCache>
                <c:ptCount val="4"/>
                <c:pt idx="0">
                  <c:v>Capital Works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'Capital Works'!$F$2:$J$2</c:f>
              <c:strCache>
                <c:ptCount val="5"/>
                <c:pt idx="0">
                  <c:v>2009/10</c:v>
                </c:pt>
                <c:pt idx="1">
                  <c:v>2010/11</c:v>
                </c:pt>
                <c:pt idx="2">
                  <c:v>2011/12</c:v>
                </c:pt>
                <c:pt idx="3">
                  <c:v>2012/13</c:v>
                </c:pt>
                <c:pt idx="4">
                  <c:v>2013/14</c:v>
                </c:pt>
              </c:strCache>
            </c:strRef>
          </c:cat>
          <c:val>
            <c:numRef>
              <c:f>'Capital Works'!$F$3:$J$3</c:f>
              <c:numCache>
                <c:formatCode>General</c:formatCode>
                <c:ptCount val="5"/>
                <c:pt idx="0">
                  <c:v>7.2009999999999996</c:v>
                </c:pt>
                <c:pt idx="1">
                  <c:v>6.0720000000000001</c:v>
                </c:pt>
                <c:pt idx="2">
                  <c:v>8.3710000000000004</c:v>
                </c:pt>
                <c:pt idx="3">
                  <c:v>6.6210000000000004</c:v>
                </c:pt>
                <c:pt idx="4">
                  <c:v>6.7140000000000004</c:v>
                </c:pt>
              </c:numCache>
            </c:numRef>
          </c:val>
        </c:ser>
        <c:dLbls>
          <c:showLegendKey val="0"/>
          <c:showVal val="0"/>
          <c:showCatName val="0"/>
          <c:showSerName val="0"/>
          <c:showPercent val="0"/>
          <c:showBubbleSize val="0"/>
        </c:dLbls>
        <c:gapWidth val="150"/>
        <c:axId val="354224792"/>
        <c:axId val="354222832"/>
      </c:barChart>
      <c:catAx>
        <c:axId val="354224792"/>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354222832"/>
        <c:crosses val="autoZero"/>
        <c:auto val="1"/>
        <c:lblAlgn val="ctr"/>
        <c:lblOffset val="100"/>
        <c:noMultiLvlLbl val="0"/>
      </c:catAx>
      <c:valAx>
        <c:axId val="354222832"/>
        <c:scaling>
          <c:orientation val="minMax"/>
        </c:scaling>
        <c:delete val="0"/>
        <c:axPos val="l"/>
        <c:majorGridlines/>
        <c:title>
          <c:tx>
            <c:rich>
              <a:bodyPr rot="-5400000" vert="horz"/>
              <a:lstStyle/>
              <a:p>
                <a:pPr>
                  <a:defRPr sz="1400"/>
                </a:pPr>
                <a:r>
                  <a:rPr lang="en-GB" sz="1400"/>
                  <a:t>Value in $' millions</a:t>
                </a:r>
              </a:p>
            </c:rich>
          </c:tx>
          <c:overlay val="0"/>
        </c:title>
        <c:numFmt formatCode="General" sourceLinked="1"/>
        <c:majorTickMark val="out"/>
        <c:minorTickMark val="none"/>
        <c:tickLblPos val="nextTo"/>
        <c:crossAx val="3542247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'Current Ratio'!$A$3:$D$3</c:f>
              <c:strCache>
                <c:ptCount val="4"/>
                <c:pt idx="0">
                  <c:v>Current Ratio</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'Current Ratio'!$F$2:$J$2</c:f>
              <c:strCache>
                <c:ptCount val="5"/>
                <c:pt idx="0">
                  <c:v>2009/10</c:v>
                </c:pt>
                <c:pt idx="1">
                  <c:v>2010/11</c:v>
                </c:pt>
                <c:pt idx="2">
                  <c:v>2011/12</c:v>
                </c:pt>
                <c:pt idx="3">
                  <c:v>2012/13</c:v>
                </c:pt>
                <c:pt idx="4">
                  <c:v>2013/14</c:v>
                </c:pt>
              </c:strCache>
            </c:strRef>
          </c:cat>
          <c:val>
            <c:numRef>
              <c:f>'Current Ratio'!$F$3:$J$3</c:f>
              <c:numCache>
                <c:formatCode>General</c:formatCode>
                <c:ptCount val="5"/>
                <c:pt idx="0">
                  <c:v>1.21</c:v>
                </c:pt>
                <c:pt idx="1">
                  <c:v>1.53</c:v>
                </c:pt>
                <c:pt idx="2">
                  <c:v>1.39</c:v>
                </c:pt>
                <c:pt idx="3">
                  <c:v>1.52</c:v>
                </c:pt>
                <c:pt idx="4">
                  <c:v>1.51</c:v>
                </c:pt>
              </c:numCache>
            </c:numRef>
          </c:val>
          <c:smooth val="0"/>
        </c:ser>
        <c:dLbls>
          <c:showLegendKey val="0"/>
          <c:showVal val="1"/>
          <c:showCatName val="0"/>
          <c:showSerName val="0"/>
          <c:showPercent val="0"/>
          <c:showBubbleSize val="0"/>
        </c:dLbls>
        <c:marker val="1"/>
        <c:smooth val="0"/>
        <c:axId val="449950312"/>
        <c:axId val="449950704"/>
      </c:lineChart>
      <c:catAx>
        <c:axId val="449950312"/>
        <c:scaling>
          <c:orientation val="minMax"/>
        </c:scaling>
        <c:delete val="0"/>
        <c:axPos val="b"/>
        <c:numFmt formatCode="General" sourceLinked="0"/>
        <c:majorTickMark val="out"/>
        <c:minorTickMark val="none"/>
        <c:tickLblPos val="nextTo"/>
        <c:crossAx val="449950704"/>
        <c:crosses val="autoZero"/>
        <c:auto val="1"/>
        <c:lblAlgn val="ctr"/>
        <c:lblOffset val="100"/>
        <c:noMultiLvlLbl val="0"/>
      </c:catAx>
      <c:valAx>
        <c:axId val="449950704"/>
        <c:scaling>
          <c:orientation val="minMax"/>
        </c:scaling>
        <c:delete val="0"/>
        <c:axPos val="l"/>
        <c:majorGridlines/>
        <c:title>
          <c:tx>
            <c:rich>
              <a:bodyPr rot="-5400000" vert="horz"/>
              <a:lstStyle/>
              <a:p>
                <a:pPr>
                  <a:defRPr/>
                </a:pPr>
                <a:r>
                  <a:rPr lang="en-GB"/>
                  <a:t>Current Assets to Current Liabilities</a:t>
                </a:r>
              </a:p>
            </c:rich>
          </c:tx>
          <c:overlay val="0"/>
        </c:title>
        <c:numFmt formatCode="General" sourceLinked="1"/>
        <c:majorTickMark val="out"/>
        <c:minorTickMark val="none"/>
        <c:tickLblPos val="nextTo"/>
        <c:crossAx val="449950312"/>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'Debt Service Cover'!$A$3:$D$3</c:f>
              <c:strCache>
                <c:ptCount val="4"/>
                <c:pt idx="0">
                  <c:v>Debt Service Ratio</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'Debt Service Cover'!$F$2:$J$2</c:f>
              <c:strCache>
                <c:ptCount val="5"/>
                <c:pt idx="0">
                  <c:v>2009/10</c:v>
                </c:pt>
                <c:pt idx="1">
                  <c:v>2010/11</c:v>
                </c:pt>
                <c:pt idx="2">
                  <c:v>2011/12</c:v>
                </c:pt>
                <c:pt idx="3">
                  <c:v>2012/13</c:v>
                </c:pt>
                <c:pt idx="4">
                  <c:v>2013/14</c:v>
                </c:pt>
              </c:strCache>
            </c:strRef>
          </c:cat>
          <c:val>
            <c:numRef>
              <c:f>'Debt Service Cover'!$F$3:$J$3</c:f>
              <c:numCache>
                <c:formatCode>0.00</c:formatCode>
                <c:ptCount val="5"/>
                <c:pt idx="0">
                  <c:v>3.09</c:v>
                </c:pt>
                <c:pt idx="1">
                  <c:v>3.6</c:v>
                </c:pt>
                <c:pt idx="2">
                  <c:v>4.53</c:v>
                </c:pt>
                <c:pt idx="3">
                  <c:v>3.59</c:v>
                </c:pt>
                <c:pt idx="4">
                  <c:v>4.4400000000000004</c:v>
                </c:pt>
              </c:numCache>
            </c:numRef>
          </c:val>
          <c:smooth val="0"/>
        </c:ser>
        <c:dLbls>
          <c:showLegendKey val="0"/>
          <c:showVal val="0"/>
          <c:showCatName val="0"/>
          <c:showSerName val="0"/>
          <c:showPercent val="0"/>
          <c:showBubbleSize val="0"/>
        </c:dLbls>
        <c:marker val="1"/>
        <c:smooth val="0"/>
        <c:axId val="450853536"/>
        <c:axId val="450853928"/>
      </c:lineChart>
      <c:catAx>
        <c:axId val="450853536"/>
        <c:scaling>
          <c:orientation val="minMax"/>
        </c:scaling>
        <c:delete val="0"/>
        <c:axPos val="b"/>
        <c:numFmt formatCode="General" sourceLinked="0"/>
        <c:majorTickMark val="out"/>
        <c:minorTickMark val="none"/>
        <c:tickLblPos val="nextTo"/>
        <c:crossAx val="450853928"/>
        <c:crosses val="autoZero"/>
        <c:auto val="1"/>
        <c:lblAlgn val="ctr"/>
        <c:lblOffset val="100"/>
        <c:noMultiLvlLbl val="0"/>
      </c:catAx>
      <c:valAx>
        <c:axId val="450853928"/>
        <c:scaling>
          <c:orientation val="minMax"/>
        </c:scaling>
        <c:delete val="0"/>
        <c:axPos val="l"/>
        <c:majorGridlines/>
        <c:title>
          <c:tx>
            <c:rich>
              <a:bodyPr rot="-5400000" vert="horz"/>
              <a:lstStyle/>
              <a:p>
                <a:pPr>
                  <a:defRPr sz="1400"/>
                </a:pPr>
                <a:r>
                  <a:rPr lang="en-GB" sz="1400"/>
                  <a:t>Operating Surplus (BID) to Debt Service</a:t>
                </a:r>
              </a:p>
            </c:rich>
          </c:tx>
          <c:overlay val="0"/>
        </c:title>
        <c:numFmt formatCode="0.00" sourceLinked="1"/>
        <c:majorTickMark val="out"/>
        <c:minorTickMark val="none"/>
        <c:tickLblPos val="nextTo"/>
        <c:crossAx val="450853536"/>
        <c:crosses val="autoZero"/>
        <c:crossBetween val="between"/>
      </c:valAx>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'Own Source Revenue'!$A$3:$D$3</c:f>
              <c:strCache>
                <c:ptCount val="4"/>
                <c:pt idx="0">
                  <c:v>Own Source Revenue Coverage</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'Own Source Revenue'!$F$2:$J$2</c:f>
              <c:strCache>
                <c:ptCount val="5"/>
                <c:pt idx="0">
                  <c:v>2009/10</c:v>
                </c:pt>
                <c:pt idx="1">
                  <c:v>2010/11</c:v>
                </c:pt>
                <c:pt idx="2">
                  <c:v>2011/12</c:v>
                </c:pt>
                <c:pt idx="3">
                  <c:v>2012/13</c:v>
                </c:pt>
                <c:pt idx="4">
                  <c:v>2013/14</c:v>
                </c:pt>
              </c:strCache>
            </c:strRef>
          </c:cat>
          <c:val>
            <c:numRef>
              <c:f>'Own Source Revenue'!$F$3:$J$3</c:f>
              <c:numCache>
                <c:formatCode>0%</c:formatCode>
                <c:ptCount val="5"/>
                <c:pt idx="0">
                  <c:v>0.91</c:v>
                </c:pt>
                <c:pt idx="1">
                  <c:v>0.87</c:v>
                </c:pt>
                <c:pt idx="2">
                  <c:v>0.91</c:v>
                </c:pt>
                <c:pt idx="3">
                  <c:v>0.93</c:v>
                </c:pt>
                <c:pt idx="4">
                  <c:v>0.99</c:v>
                </c:pt>
              </c:numCache>
            </c:numRef>
          </c:val>
          <c:smooth val="0"/>
        </c:ser>
        <c:dLbls>
          <c:showLegendKey val="0"/>
          <c:showVal val="0"/>
          <c:showCatName val="0"/>
          <c:showSerName val="0"/>
          <c:showPercent val="0"/>
          <c:showBubbleSize val="0"/>
        </c:dLbls>
        <c:marker val="1"/>
        <c:smooth val="0"/>
        <c:axId val="450854712"/>
        <c:axId val="450855104"/>
      </c:lineChart>
      <c:catAx>
        <c:axId val="450854712"/>
        <c:scaling>
          <c:orientation val="minMax"/>
        </c:scaling>
        <c:delete val="0"/>
        <c:axPos val="b"/>
        <c:numFmt formatCode="General" sourceLinked="0"/>
        <c:majorTickMark val="none"/>
        <c:minorTickMark val="none"/>
        <c:tickLblPos val="nextTo"/>
        <c:crossAx val="450855104"/>
        <c:crosses val="autoZero"/>
        <c:auto val="1"/>
        <c:lblAlgn val="ctr"/>
        <c:lblOffset val="100"/>
        <c:noMultiLvlLbl val="0"/>
      </c:catAx>
      <c:valAx>
        <c:axId val="450855104"/>
        <c:scaling>
          <c:orientation val="minMax"/>
        </c:scaling>
        <c:delete val="0"/>
        <c:axPos val="l"/>
        <c:majorGridlines/>
        <c:numFmt formatCode="0%" sourceLinked="1"/>
        <c:majorTickMark val="none"/>
        <c:minorTickMark val="none"/>
        <c:tickLblPos val="nextTo"/>
        <c:spPr>
          <a:ln w="9525">
            <a:noFill/>
          </a:ln>
        </c:spPr>
        <c:crossAx val="450854712"/>
        <c:crosses val="autoZero"/>
        <c:crossBetween val="between"/>
      </c:valAx>
    </c:plotArea>
    <c:legend>
      <c:legendPos val="b"/>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1</DocumentStatus>
    <DocumentType xmlns="551bcb09-a9b9-4534-96a3-39c0ac6c96d1">3</DocumentType>
    <FolderSection xmlns="551bcb09-a9b9-4534-96a3-39c0ac6c96d1">09 September</FolderSection>
    <F2Function xmlns="551bcb09-a9b9-4534-96a3-39c0ac6c96d1" xsi:nil="true"/>
    <Property xmlns="551bcb09-a9b9-4534-96a3-39c0ac6c96d1" xsi:nil="true" Resolved="true"/>
    <ExternalReference xmlns="551bcb09-a9b9-4534-96a3-39c0ac6c96d1" xsi:nil="true"/>
    <_dlc_DocId xmlns="551bcb09-a9b9-4534-96a3-39c0ac6c96d1">CEO-006852</_dlc_DocId>
    <_dlc_DocIdUrl xmlns="551bcb09-a9b9-4534-96a3-39c0ac6c96d1">
      <Url>http://myedms/sites/ceo/_layouts/15/DocIdRedir.aspx?ID=CEO-006852</Url>
      <Description>CEO-006852</Description>
    </_dlc_DocIdUrl>
    <ExtEntity_ID xmlns="a481e8fc-06bf-4ae8-b1b8-c32c78dca3e6" xsi:nil="true"/>
    <ExtProperty_ID xmlns="a481e8fc-06bf-4ae8-b1b8-c32c78dca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pany Document" ma:contentTypeID="0x010100E7496BD824339740AD3ADDBFDE3779630200D7496B4AE2E6E5499A5B2604B2730670" ma:contentTypeVersion="119" ma:contentTypeDescription="" ma:contentTypeScope="" ma:versionID="041805b0800ec4e9d5baa6f935dc64f5">
  <xsd:schema xmlns:xsd="http://www.w3.org/2001/XMLSchema" xmlns:xs="http://www.w3.org/2001/XMLSchema" xmlns:p="http://schemas.microsoft.com/office/2006/metadata/properties" xmlns:ns2="551bcb09-a9b9-4534-96a3-39c0ac6c96d1" xmlns:ns3="a481e8fc-06bf-4ae8-b1b8-c32c78dca3e6" targetNamespace="http://schemas.microsoft.com/office/2006/metadata/properties" ma:root="true" ma:fieldsID="6e7aae923358ec8a869fc8035e630c56" ns2:_="" ns3:_="">
    <xsd:import namespace="551bcb09-a9b9-4534-96a3-39c0ac6c96d1"/>
    <xsd:import namespace="a481e8fc-06bf-4ae8-b1b8-c32c78dca3e6"/>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3:ExtEntity_ID" minOccurs="0"/>
                <xsd:element ref="ns3:ExtProperty_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ExternalReference" ma:index="24" nillable="true" ma:displayName="External Reference" ma:internalName="External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1e8fc-06bf-4ae8-b1b8-c32c78dca3e6" elementFormDefault="qualified">
    <xsd:import namespace="http://schemas.microsoft.com/office/2006/documentManagement/types"/>
    <xsd:import namespace="http://schemas.microsoft.com/office/infopath/2007/PartnerControls"/>
    <xsd:element name="ExtEntity_ID" ma:index="22" nillable="true" ma:displayName="ExtEntity_ID" ma:hidden="true" ma:internalName="ExtEntity_ID">
      <xsd:complexType>
        <xsd:simpleContent>
          <xsd:extension base="dms:BusinessDataSecondaryField">
            <xsd:attribute name="BdcField" type="xsd:string" fixed="ExtEntity_ID"/>
          </xsd:extension>
        </xsd:simpleContent>
      </xsd:complexType>
    </xsd:element>
    <xsd:element name="ExtProperty_ID" ma:index="23" nillable="true" ma:displayName="ExtProperty_ID" ma:hidden="true" ma:internalName="ExtProperty_ID">
      <xsd:complexType>
        <xsd:simpleContent>
          <xsd:extension base="dms:BusinessDataSecondaryField">
            <xsd:attribute name="BdcField" type="xsd:string" fixed="ExtProperty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5ca4a8-6ba9-4241-933d-745e1dd5cc48" ContentTypeId="0x010100E7496BD824339740AD3ADDBFDE37796302" PreviousValue="true"/>
</file>

<file path=customXml/item5.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Bluebox.Edms.ER.Documents.CompanyDocumentEventReceiver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Bluebox.Edms.ER.Documents.CompanyDocumentEventReceiver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61FD-C7E0-453C-9958-1848E410D34F}">
  <ds:schemaRefs>
    <ds:schemaRef ds:uri="http://schemas.microsoft.com/office/2006/metadata/properties"/>
    <ds:schemaRef ds:uri="http://schemas.microsoft.com/office/infopath/2007/PartnerControls"/>
    <ds:schemaRef ds:uri="551bcb09-a9b9-4534-96a3-39c0ac6c96d1"/>
    <ds:schemaRef ds:uri="a481e8fc-06bf-4ae8-b1b8-c32c78dca3e6"/>
  </ds:schemaRefs>
</ds:datastoreItem>
</file>

<file path=customXml/itemProps2.xml><?xml version="1.0" encoding="utf-8"?>
<ds:datastoreItem xmlns:ds="http://schemas.openxmlformats.org/officeDocument/2006/customXml" ds:itemID="{C3D792F5-7910-4896-A678-6273749E68CC}">
  <ds:schemaRefs>
    <ds:schemaRef ds:uri="http://schemas.microsoft.com/sharepoint/v3/contenttype/forms"/>
  </ds:schemaRefs>
</ds:datastoreItem>
</file>

<file path=customXml/itemProps3.xml><?xml version="1.0" encoding="utf-8"?>
<ds:datastoreItem xmlns:ds="http://schemas.openxmlformats.org/officeDocument/2006/customXml" ds:itemID="{41184A74-3DB5-4F4D-BF21-FB679BFEE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a481e8fc-06bf-4ae8-b1b8-c32c78dca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0D948-7ABF-475B-90AA-E9EC73C8A45A}">
  <ds:schemaRefs>
    <ds:schemaRef ds:uri="Microsoft.SharePoint.Taxonomy.ContentTypeSync"/>
  </ds:schemaRefs>
</ds:datastoreItem>
</file>

<file path=customXml/itemProps5.xml><?xml version="1.0" encoding="utf-8"?>
<ds:datastoreItem xmlns:ds="http://schemas.openxmlformats.org/officeDocument/2006/customXml" ds:itemID="{957A3A32-A8E1-46CB-BD96-4FDA0FC8190F}">
  <ds:schemaRefs>
    <ds:schemaRef ds:uri="http://schemas.microsoft.com/sharepoint/events"/>
  </ds:schemaRefs>
</ds:datastoreItem>
</file>

<file path=customXml/itemProps6.xml><?xml version="1.0" encoding="utf-8"?>
<ds:datastoreItem xmlns:ds="http://schemas.openxmlformats.org/officeDocument/2006/customXml" ds:itemID="{D713FF58-EC76-4448-B786-A6E85C3E8EE3}">
  <ds:schemaRefs>
    <ds:schemaRef ds:uri="http://schemas.microsoft.com/office/2006/metadata/customXsn"/>
  </ds:schemaRefs>
</ds:datastoreItem>
</file>

<file path=customXml/itemProps7.xml><?xml version="1.0" encoding="utf-8"?>
<ds:datastoreItem xmlns:ds="http://schemas.openxmlformats.org/officeDocument/2006/customXml" ds:itemID="{594CE6B7-8E14-4892-990F-2796DB3C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2013 Special Council Meeting Agenda - 5 September</vt:lpstr>
    </vt:vector>
  </TitlesOfParts>
  <Company>City of Nedlands</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Special Council Meeting Agenda - 5 September</dc:title>
  <dc:subject/>
  <dc:creator>slove</dc:creator>
  <cp:keywords/>
  <cp:lastModifiedBy>Phoebe Huigens</cp:lastModifiedBy>
  <cp:revision>4</cp:revision>
  <cp:lastPrinted>2013-09-04T03:48:00Z</cp:lastPrinted>
  <dcterms:created xsi:type="dcterms:W3CDTF">2014-12-02T07:34:00Z</dcterms:created>
  <dcterms:modified xsi:type="dcterms:W3CDTF">2014-12-02T08:50:00Z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0x010100E7496BD824339740AD3ADDBFDE3779630200D7496B4AE2E6E5499A5B2604B2730670</vt:lpwstr>
  </property>
  <property fmtid="{D5CDD505-2E9C-101B-9397-08002B2CF9AE}" pid="3" name="_dlc_DocIdItemGuid">
    <vt:lpwstr>dda1e33a-cd88-405c-9b66-4fd757901b42</vt:lpwstr>
  </property>
</Properties>
</file>