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9DC69" w14:textId="6120325D" w:rsidR="0031502F" w:rsidRPr="0031502F" w:rsidRDefault="0031502F" w:rsidP="0031502F">
      <w:pPr>
        <w:tabs>
          <w:tab w:val="left" w:pos="709"/>
          <w:tab w:val="left" w:pos="2127"/>
          <w:tab w:val="right" w:leader="dot" w:pos="9072"/>
        </w:tabs>
        <w:ind w:right="-45"/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</w:pPr>
      <w:bookmarkStart w:id="0" w:name="_Toc522785112"/>
      <w:r w:rsidRPr="0031502F">
        <w:rPr>
          <w:rFonts w:ascii="Arial" w:eastAsia="Times New Roman" w:hAnsi="Arial" w:cs="Arial"/>
          <w:b/>
          <w:noProof/>
          <w:sz w:val="28"/>
          <w:szCs w:val="24"/>
          <w:lang w:val="en-AU" w:eastAsia="en-US"/>
        </w:rPr>
        <w:t>Superannuation Contributions</w:t>
      </w:r>
      <w:bookmarkEnd w:id="0"/>
    </w:p>
    <w:p w14:paraId="28B99C6F" w14:textId="77777777" w:rsidR="0031502F" w:rsidRPr="0031502F" w:rsidRDefault="0031502F" w:rsidP="0031502F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3B32490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>KFA</w:t>
      </w: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31502F">
        <w:rPr>
          <w:rFonts w:ascii="Arial" w:eastAsia="Times New Roman" w:hAnsi="Arial" w:cs="Arial"/>
          <w:sz w:val="24"/>
          <w:szCs w:val="24"/>
          <w:lang w:val="en-AU" w:eastAsia="en-US"/>
        </w:rPr>
        <w:t>Governance and Civic Leadership</w:t>
      </w:r>
    </w:p>
    <w:p w14:paraId="3A8EAB23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0E483D40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i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>Status</w:t>
      </w: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31502F">
        <w:rPr>
          <w:rFonts w:ascii="Arial" w:eastAsia="Times New Roman" w:hAnsi="Arial" w:cs="Arial"/>
          <w:sz w:val="24"/>
          <w:szCs w:val="24"/>
          <w:lang w:val="en-AU" w:eastAsia="en-US"/>
        </w:rPr>
        <w:t>Council</w:t>
      </w:r>
    </w:p>
    <w:p w14:paraId="04628A6F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365710E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>Responsible</w:t>
      </w:r>
    </w:p>
    <w:p w14:paraId="75AF10C8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>division</w:t>
      </w:r>
      <w:r w:rsidRPr="0031502F">
        <w:rPr>
          <w:rFonts w:ascii="Arial" w:eastAsia="Times New Roman" w:hAnsi="Arial" w:cs="Arial"/>
          <w:sz w:val="24"/>
          <w:szCs w:val="24"/>
          <w:lang w:val="en-AU" w:eastAsia="en-US"/>
        </w:rPr>
        <w:tab/>
        <w:t>Office of the Chief Executive Officer</w:t>
      </w:r>
    </w:p>
    <w:p w14:paraId="5823BBAC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6DE3886D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>Objective</w:t>
      </w: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ab/>
      </w:r>
      <w:r w:rsidRPr="0031502F">
        <w:rPr>
          <w:rFonts w:ascii="Arial" w:eastAsia="Times New Roman" w:hAnsi="Arial" w:cs="Arial"/>
          <w:sz w:val="24"/>
          <w:szCs w:val="24"/>
          <w:lang w:val="en-AU" w:eastAsia="en-US"/>
        </w:rPr>
        <w:t>To establish employer and employee superannuation contributions</w:t>
      </w:r>
    </w:p>
    <w:p w14:paraId="4CF5C0B9" w14:textId="77777777" w:rsidR="0031502F" w:rsidRPr="0031502F" w:rsidRDefault="0031502F" w:rsidP="0031502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AEF4E41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1999CD50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>Context</w:t>
      </w:r>
    </w:p>
    <w:p w14:paraId="3C66244B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58B2DDC" w14:textId="77777777" w:rsidR="0031502F" w:rsidRPr="0031502F" w:rsidRDefault="0031502F" w:rsidP="0031502F">
      <w:pPr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Cs/>
          <w:sz w:val="24"/>
          <w:szCs w:val="24"/>
          <w:lang w:val="en-AU" w:eastAsia="en-US"/>
        </w:rPr>
        <w:t xml:space="preserve">This policy sets out the criteria for the payment of government guaranteed superannuation to employees as well as additional superannuation contributions to employees where employees elect to make a voluntary contribution. </w:t>
      </w:r>
    </w:p>
    <w:p w14:paraId="376B17E1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227FED1B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>Statement</w:t>
      </w:r>
    </w:p>
    <w:p w14:paraId="20B7DA89" w14:textId="655571C0" w:rsid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19F9B595" w14:textId="79F05A96" w:rsidR="00267F95" w:rsidRPr="00267F95" w:rsidRDefault="00267F95" w:rsidP="00267F95">
      <w:pPr>
        <w:jc w:val="both"/>
        <w:rPr>
          <w:rFonts w:ascii="Arial" w:eastAsia="Times New Roman" w:hAnsi="Arial" w:cs="Arial"/>
          <w:bCs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Cs/>
          <w:sz w:val="24"/>
          <w:szCs w:val="24"/>
          <w:lang w:val="en-AU" w:eastAsia="en-US"/>
        </w:rPr>
        <w:t>The City shall provide superannuation co-contribution payments to all employees regardless of their modes of employment when certain criteria are met.</w:t>
      </w:r>
    </w:p>
    <w:p w14:paraId="77F32D4F" w14:textId="77777777" w:rsidR="00267F95" w:rsidRPr="0031502F" w:rsidRDefault="00267F95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</w:p>
    <w:p w14:paraId="1AEA7E85" w14:textId="5A2869FF" w:rsidR="0031502F" w:rsidRPr="00267F95" w:rsidRDefault="00267F95" w:rsidP="0031502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Definitions</w:t>
      </w:r>
    </w:p>
    <w:p w14:paraId="5B773C25" w14:textId="084B2F7C" w:rsidR="00267F95" w:rsidRDefault="00267F95" w:rsidP="0031502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5488D3B" w14:textId="3F22D5F2" w:rsidR="00267F95" w:rsidRDefault="00267F95" w:rsidP="00267F95">
      <w:pPr>
        <w:pBdr>
          <w:bottom w:val="single" w:sz="4" w:space="1" w:color="auto"/>
        </w:pBdr>
        <w:ind w:left="5040" w:hanging="504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Employee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- </w:t>
      </w: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means an employee of the City of Nedlands</w:t>
      </w:r>
    </w:p>
    <w:p w14:paraId="5C8D2F2A" w14:textId="77777777" w:rsidR="00267F95" w:rsidRPr="00267F95" w:rsidRDefault="00267F95" w:rsidP="00267F95">
      <w:pPr>
        <w:pBdr>
          <w:bottom w:val="single" w:sz="4" w:space="1" w:color="auto"/>
        </w:pBdr>
        <w:ind w:left="5040" w:hanging="504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B5EC46F" w14:textId="62F55075" w:rsidR="00267F95" w:rsidRDefault="00267F95" w:rsidP="00267F95">
      <w:pPr>
        <w:pBdr>
          <w:bottom w:val="single" w:sz="4" w:space="1" w:color="auto"/>
        </w:pBdr>
        <w:ind w:left="5040" w:hanging="504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Mode of employment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- </w:t>
      </w: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mean full time, part-time or casual employment.</w:t>
      </w:r>
    </w:p>
    <w:p w14:paraId="42C78975" w14:textId="77777777" w:rsidR="00267F95" w:rsidRPr="00267F95" w:rsidRDefault="00267F95" w:rsidP="00267F95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DA2B26A" w14:textId="3662457F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Superannuation co-contribution scheme</w:t>
      </w: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- </w:t>
      </w: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a system for payments made to an employee’s superannuation scheme over and above those made in the superannuation guarantee payment.</w:t>
      </w:r>
    </w:p>
    <w:p w14:paraId="6D73AD28" w14:textId="77777777" w:rsidR="00267F95" w:rsidRPr="00267F95" w:rsidRDefault="00267F95" w:rsidP="00267F95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47696BEF" w14:textId="793FC9D6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Superannuation guarantee payment</w:t>
      </w:r>
      <w:r>
        <w:rPr>
          <w:rFonts w:ascii="Arial" w:eastAsia="Times New Roman" w:hAnsi="Arial" w:cs="Arial"/>
          <w:sz w:val="24"/>
          <w:szCs w:val="24"/>
          <w:lang w:val="en-AU" w:eastAsia="en-US"/>
        </w:rPr>
        <w:t xml:space="preserve"> - </w:t>
      </w: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 payments set at a minimum rate by the Federal Government, to be paid to complying funds or retirement savings accounts.</w:t>
      </w:r>
    </w:p>
    <w:p w14:paraId="1F2F1E37" w14:textId="6DA6E70A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238C2CE" w14:textId="1FD1A36D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Objectives</w:t>
      </w:r>
    </w:p>
    <w:p w14:paraId="4877497A" w14:textId="234AAA59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275CC09" w14:textId="31B003E2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To determine the criteria for the payment of employee superannuation co-contributions in addition to payments made in accordance with the Superannuation Guarantee (Administration) Act 1992.</w:t>
      </w:r>
    </w:p>
    <w:p w14:paraId="67405544" w14:textId="3C871425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EC4E30A" w14:textId="77777777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6C044553" w14:textId="77777777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28B9C5F6" w14:textId="77777777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8C8E8DA" w14:textId="77777777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0C52C8F8" w14:textId="79EC496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lastRenderedPageBreak/>
        <w:t>Policy Principles</w:t>
      </w:r>
    </w:p>
    <w:p w14:paraId="1BBEE8EF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EF48C63" w14:textId="010F7318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The purpose of this policy is to:</w:t>
      </w:r>
    </w:p>
    <w:p w14:paraId="48BF040F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6BA97F1" w14:textId="1E409638" w:rsidR="00267F95" w:rsidRPr="00267F95" w:rsidRDefault="00267F95" w:rsidP="00267F95">
      <w:pPr>
        <w:pStyle w:val="ListParagraph"/>
        <w:numPr>
          <w:ilvl w:val="0"/>
          <w:numId w:val="7"/>
        </w:numPr>
        <w:pBdr>
          <w:bottom w:val="single" w:sz="4" w:space="1" w:color="auto"/>
        </w:pBd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provide an employment incentive for employees, commensurate with the employment market; and</w:t>
      </w:r>
    </w:p>
    <w:p w14:paraId="1F63DA8F" w14:textId="5A3C9650" w:rsidR="00267F95" w:rsidRPr="00267F95" w:rsidRDefault="00267F95" w:rsidP="00267F95">
      <w:pPr>
        <w:pStyle w:val="ListParagraph"/>
        <w:numPr>
          <w:ilvl w:val="0"/>
          <w:numId w:val="7"/>
        </w:numPr>
        <w:pBdr>
          <w:bottom w:val="single" w:sz="4" w:space="1" w:color="auto"/>
        </w:pBdr>
        <w:ind w:left="567" w:hanging="567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provide an incentive to all employees to voluntarily contribute to their superannuation fund.</w:t>
      </w:r>
    </w:p>
    <w:p w14:paraId="54C469E7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E1FA77A" w14:textId="7D265894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>Policy Guidance</w:t>
      </w:r>
    </w:p>
    <w:p w14:paraId="50991B5A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F689DA7" w14:textId="74A4A5C7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The City offers its superannuation co-contribution scheme to all employees.  </w:t>
      </w:r>
    </w:p>
    <w:p w14:paraId="6B78C285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B750190" w14:textId="4E1A1D3D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 xml:space="preserve">Under the superannuation co-contribution scheme, the City will contribute 2% of an employee’s base salary to the employee’s superannuation where the employee contributes a minimum of 5%, or more, of their base salary to superannuation. </w:t>
      </w:r>
    </w:p>
    <w:p w14:paraId="5AE09443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72C9A862" w14:textId="6C5A7C5C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The co-contribution paid by the City is in addition to the City’s mandatory Superannuation Guarantee Payment prescribed by the Federal Government.</w:t>
      </w:r>
    </w:p>
    <w:p w14:paraId="6661B999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D4DA4D9" w14:textId="4E99FDE3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The co-contribution will be paid to the employee’s nominated superannuation fund.</w:t>
      </w:r>
    </w:p>
    <w:p w14:paraId="04ADCFB3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66B9EC60" w14:textId="3E9D69EF" w:rsid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All employees can contribute to their superannuation via salary sacrifice (pre-tax amount) or salary deduction (post-tax amount) as allowed under the Australian Taxation Office guidelines.</w:t>
      </w:r>
    </w:p>
    <w:p w14:paraId="37F5D0DD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05AE0D06" w14:textId="77777777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Salary sacrificed superannuation contributions are classified as employer superannuation contributions, rather than employee contributions. This reduces the amount of superannuation guarantee contributions that the City is required to make.</w:t>
      </w:r>
    </w:p>
    <w:p w14:paraId="0136531C" w14:textId="0FA0E61A" w:rsidR="00267F95" w:rsidRPr="00267F95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Employees should consider whether the additional salary they wish to sacrifice combined with the City’s co-contribution will cause them to exceed their concessional (before-tax) contributions cap and attract additional tax or attracts Division 293 tax.</w:t>
      </w:r>
    </w:p>
    <w:p w14:paraId="5BAF904D" w14:textId="77777777" w:rsidR="00267F95" w:rsidRPr="0031502F" w:rsidRDefault="00267F95" w:rsidP="00267F95">
      <w:pPr>
        <w:pBdr>
          <w:bottom w:val="single" w:sz="4" w:space="1" w:color="auto"/>
        </w:pBd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31046386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106ACFCB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 xml:space="preserve">Related documentation  </w:t>
      </w:r>
    </w:p>
    <w:p w14:paraId="6CB2567E" w14:textId="637D9C4E" w:rsid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10B7B01" w14:textId="77777777" w:rsidR="00267F95" w:rsidRPr="00267F95" w:rsidRDefault="00267F95" w:rsidP="00267F95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Contracts between the City and Employees / CEO</w:t>
      </w:r>
    </w:p>
    <w:p w14:paraId="64E23C2B" w14:textId="707AA5C2" w:rsidR="00267F95" w:rsidRPr="00267F95" w:rsidRDefault="00267F95" w:rsidP="00267F95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Enterprise Bargaining Agreements between the City and employees</w:t>
      </w:r>
    </w:p>
    <w:p w14:paraId="10ACFF03" w14:textId="45B08E87" w:rsidR="0031502F" w:rsidRDefault="0031502F" w:rsidP="0031502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sz w:val="24"/>
          <w:szCs w:val="24"/>
          <w:lang w:val="en-AU" w:eastAsia="en-US"/>
        </w:rPr>
        <w:t>Staff Superannuation Contributions Procedure</w:t>
      </w:r>
    </w:p>
    <w:p w14:paraId="2158B753" w14:textId="77777777" w:rsidR="00267F95" w:rsidRPr="0031502F" w:rsidRDefault="00267F95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2E11A24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t xml:space="preserve">Related Local Law/legislation </w:t>
      </w:r>
    </w:p>
    <w:p w14:paraId="40B4BC28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7D83569" w14:textId="77777777" w:rsidR="00267F95" w:rsidRPr="00267F95" w:rsidRDefault="00267F95" w:rsidP="00267F95">
      <w:pPr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Superannuation Guarantee (Administration) Act 1992 Local Government Act 1995</w:t>
      </w:r>
    </w:p>
    <w:p w14:paraId="4C85E96B" w14:textId="77777777" w:rsidR="00267F95" w:rsidRPr="00267F95" w:rsidRDefault="00267F95" w:rsidP="00267F95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Local Government (Employee Superannuation) Regulations 2016</w:t>
      </w:r>
    </w:p>
    <w:p w14:paraId="5F54F029" w14:textId="48587EDE" w:rsidR="00267F95" w:rsidRDefault="00267F95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0607F20E" w14:textId="79DDA9AC" w:rsidR="00267F95" w:rsidRDefault="00267F95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7C31A3A" w14:textId="77777777" w:rsidR="00267F95" w:rsidRDefault="00267F95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769AB07E" w14:textId="588E4031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 w:rsidRPr="0031502F"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  <w:lastRenderedPageBreak/>
        <w:t>Related delegation</w:t>
      </w:r>
    </w:p>
    <w:p w14:paraId="2771CD1B" w14:textId="494D49C8" w:rsid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35145998" w14:textId="0126C820" w:rsidR="00267F95" w:rsidRPr="00267F95" w:rsidRDefault="00267F95" w:rsidP="0031502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  <w:r w:rsidRPr="00267F95">
        <w:rPr>
          <w:rFonts w:ascii="Arial" w:eastAsia="Times New Roman" w:hAnsi="Arial" w:cs="Arial"/>
          <w:sz w:val="24"/>
          <w:szCs w:val="24"/>
          <w:lang w:val="en-AU" w:eastAsia="en-US"/>
        </w:rPr>
        <w:t>Nil.</w:t>
      </w:r>
    </w:p>
    <w:p w14:paraId="61E2D902" w14:textId="77777777" w:rsidR="0031502F" w:rsidRPr="0031502F" w:rsidRDefault="0031502F" w:rsidP="0031502F">
      <w:pPr>
        <w:pBdr>
          <w:bottom w:val="single" w:sz="4" w:space="1" w:color="auto"/>
        </w:pBd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56AC1C15" w14:textId="77777777" w:rsidR="0031502F" w:rsidRPr="0031502F" w:rsidRDefault="0031502F" w:rsidP="0031502F">
      <w:pPr>
        <w:ind w:left="2160" w:hanging="2160"/>
        <w:jc w:val="both"/>
        <w:rPr>
          <w:rFonts w:ascii="Arial" w:eastAsia="Times New Roman" w:hAnsi="Arial" w:cs="Arial"/>
          <w:sz w:val="24"/>
          <w:szCs w:val="24"/>
          <w:lang w:val="en-AU" w:eastAsia="en-US"/>
        </w:rPr>
      </w:pPr>
    </w:p>
    <w:p w14:paraId="23BE4339" w14:textId="7F1A1F28" w:rsidR="0031502F" w:rsidRPr="0031502F" w:rsidRDefault="00267F95" w:rsidP="0031502F">
      <w:pPr>
        <w:tabs>
          <w:tab w:val="left" w:pos="709"/>
          <w:tab w:val="left" w:pos="2127"/>
        </w:tabs>
        <w:jc w:val="both"/>
        <w:rPr>
          <w:rFonts w:ascii="Arial" w:eastAsia="Times New Roman" w:hAnsi="Arial" w:cs="Arial"/>
          <w:b/>
          <w:sz w:val="24"/>
          <w:szCs w:val="24"/>
          <w:lang w:val="en-AU" w:eastAsia="en-US"/>
        </w:rPr>
      </w:pPr>
      <w:r>
        <w:rPr>
          <w:rFonts w:ascii="Arial" w:eastAsia="Times New Roman" w:hAnsi="Arial" w:cs="Arial"/>
          <w:b/>
          <w:sz w:val="24"/>
          <w:szCs w:val="24"/>
          <w:lang w:val="en-AU" w:eastAsia="en-US"/>
        </w:rPr>
        <w:t>R</w:t>
      </w:r>
      <w:r w:rsidR="0031502F" w:rsidRPr="0031502F">
        <w:rPr>
          <w:rFonts w:ascii="Arial" w:eastAsia="Times New Roman" w:hAnsi="Arial" w:cs="Arial"/>
          <w:b/>
          <w:sz w:val="24"/>
          <w:szCs w:val="24"/>
          <w:lang w:val="en-AU" w:eastAsia="en-US"/>
        </w:rPr>
        <w:t>eview History</w:t>
      </w:r>
    </w:p>
    <w:p w14:paraId="5525A345" w14:textId="55466A93" w:rsidR="0031502F" w:rsidRDefault="0031502F" w:rsidP="0031502F">
      <w:pPr>
        <w:ind w:left="2160" w:hanging="2160"/>
        <w:jc w:val="both"/>
        <w:rPr>
          <w:rFonts w:ascii="Arial" w:eastAsia="Times New Roman" w:hAnsi="Arial" w:cs="Arial"/>
          <w:b/>
          <w:bCs/>
          <w:sz w:val="24"/>
          <w:szCs w:val="24"/>
          <w:lang w:val="en-AU" w:eastAsia="en-US"/>
        </w:rPr>
      </w:pPr>
    </w:p>
    <w:p w14:paraId="47173E9C" w14:textId="3318D21E" w:rsidR="0026722F" w:rsidRPr="0031502F" w:rsidRDefault="007366AE" w:rsidP="0031502F">
      <w:r>
        <w:rPr>
          <w:rFonts w:ascii="Arial" w:eastAsia="Times New Roman" w:hAnsi="Arial" w:cs="Arial"/>
          <w:sz w:val="24"/>
          <w:szCs w:val="24"/>
          <w:lang w:val="en-AU" w:eastAsia="en-US"/>
        </w:rPr>
        <w:t>Adopted Council Resolution Item 13.4 – Policy Reviews – 24 September 2019</w:t>
      </w:r>
    </w:p>
    <w:sectPr w:rsidR="0026722F" w:rsidRPr="0031502F" w:rsidSect="006237B7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73E9F" w14:textId="77777777" w:rsidR="00742A39" w:rsidRDefault="00742A39" w:rsidP="00A972E3">
      <w:r>
        <w:separator/>
      </w:r>
    </w:p>
  </w:endnote>
  <w:endnote w:type="continuationSeparator" w:id="0">
    <w:p w14:paraId="47173EA0" w14:textId="77777777" w:rsidR="00742A39" w:rsidRDefault="00742A39" w:rsidP="00A9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3" w14:textId="77777777" w:rsidR="00742A39" w:rsidRDefault="00742A39" w:rsidP="0048224A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73E9D" w14:textId="77777777" w:rsidR="00742A39" w:rsidRDefault="00742A39" w:rsidP="00A972E3">
      <w:r>
        <w:separator/>
      </w:r>
    </w:p>
  </w:footnote>
  <w:footnote w:type="continuationSeparator" w:id="0">
    <w:p w14:paraId="47173E9E" w14:textId="77777777" w:rsidR="00742A39" w:rsidRDefault="00742A39" w:rsidP="00A9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3EA1" w14:textId="7F92BB67" w:rsidR="00742A39" w:rsidRDefault="0020108E" w:rsidP="00A972E3">
    <w:pPr>
      <w:pStyle w:val="Header"/>
      <w:tabs>
        <w:tab w:val="clear" w:pos="9026"/>
        <w:tab w:val="right" w:pos="9639"/>
      </w:tabs>
      <w:ind w:left="-567" w:right="-613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73EA4" wp14:editId="58C458E2">
              <wp:simplePos x="0" y="0"/>
              <wp:positionH relativeFrom="column">
                <wp:posOffset>1673225</wp:posOffset>
              </wp:positionH>
              <wp:positionV relativeFrom="paragraph">
                <wp:posOffset>297180</wp:posOffset>
              </wp:positionV>
              <wp:extent cx="2993390" cy="267970"/>
              <wp:effectExtent l="635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3390" cy="267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73EA7" w14:textId="77777777" w:rsidR="00742A39" w:rsidRDefault="00742A39">
                          <w:r w:rsidRPr="0048224A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26722F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</w:rPr>
                            <w:t>Council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73E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75pt;margin-top:23.4pt;width:235.7pt;height:21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" stroked="f">
              <v:fill opacity="0"/>
              <v:textbox style="mso-fit-shape-to-text:t">
                <w:txbxContent>
                  <w:p w14:paraId="47173EA7" w14:textId="77777777" w:rsidR="00742A39" w:rsidRDefault="00742A39">
                    <w:r w:rsidRPr="0048224A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26722F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</w:rPr>
                      <w:t>Council Policy</w:t>
                    </w:r>
                  </w:p>
                </w:txbxContent>
              </v:textbox>
            </v:shape>
          </w:pict>
        </mc:Fallback>
      </mc:AlternateContent>
    </w:r>
    <w:r w:rsidR="00742A39" w:rsidRPr="0048224A">
      <w:rPr>
        <w:noProof/>
        <w:lang w:val="en-AU" w:eastAsia="en-AU"/>
      </w:rPr>
      <w:drawing>
        <wp:inline distT="0" distB="0" distL="0" distR="0" wp14:anchorId="47173EA5" wp14:editId="47173EA6">
          <wp:extent cx="6485117" cy="809413"/>
          <wp:effectExtent l="19050" t="0" r="0" b="0"/>
          <wp:docPr id="25" name="Picture 1" descr="Internal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0995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73EA2" w14:textId="77777777" w:rsidR="00742A39" w:rsidRPr="00A972E3" w:rsidRDefault="00742A39" w:rsidP="00A972E3">
    <w:pPr>
      <w:pStyle w:val="Header"/>
      <w:tabs>
        <w:tab w:val="clear" w:pos="9026"/>
        <w:tab w:val="right" w:pos="9639"/>
      </w:tabs>
      <w:ind w:left="-567" w:right="-6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F4F"/>
    <w:multiLevelType w:val="hybridMultilevel"/>
    <w:tmpl w:val="41E8D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0698"/>
    <w:multiLevelType w:val="hybridMultilevel"/>
    <w:tmpl w:val="6D26C910"/>
    <w:lvl w:ilvl="0" w:tplc="1DEC6092">
      <w:start w:val="1"/>
      <w:numFmt w:val="bullet"/>
      <w:lvlText w:val=""/>
      <w:lvlJc w:val="left"/>
      <w:pPr>
        <w:ind w:left="1364" w:hanging="425"/>
      </w:pPr>
      <w:rPr>
        <w:rFonts w:ascii="Symbol" w:eastAsia="Symbol" w:hAnsi="Symbol" w:hint="default"/>
        <w:sz w:val="24"/>
        <w:szCs w:val="24"/>
      </w:rPr>
    </w:lvl>
    <w:lvl w:ilvl="1" w:tplc="3F1A374A">
      <w:start w:val="1"/>
      <w:numFmt w:val="bullet"/>
      <w:lvlText w:val="o"/>
      <w:lvlJc w:val="left"/>
      <w:pPr>
        <w:ind w:left="1792" w:hanging="425"/>
      </w:pPr>
      <w:rPr>
        <w:rFonts w:ascii="Courier New" w:eastAsia="Courier New" w:hAnsi="Courier New" w:hint="default"/>
        <w:sz w:val="24"/>
        <w:szCs w:val="24"/>
      </w:rPr>
    </w:lvl>
    <w:lvl w:ilvl="2" w:tplc="6A02439E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3" w:tplc="6026F35C">
      <w:start w:val="1"/>
      <w:numFmt w:val="bullet"/>
      <w:lvlText w:val="•"/>
      <w:lvlJc w:val="left"/>
      <w:pPr>
        <w:ind w:left="1792" w:hanging="425"/>
      </w:pPr>
      <w:rPr>
        <w:rFonts w:hint="default"/>
      </w:rPr>
    </w:lvl>
    <w:lvl w:ilvl="4" w:tplc="D1AC2C74">
      <w:start w:val="1"/>
      <w:numFmt w:val="bullet"/>
      <w:lvlText w:val="•"/>
      <w:lvlJc w:val="left"/>
      <w:pPr>
        <w:ind w:left="3114" w:hanging="425"/>
      </w:pPr>
      <w:rPr>
        <w:rFonts w:hint="default"/>
      </w:rPr>
    </w:lvl>
    <w:lvl w:ilvl="5" w:tplc="D9C4CA92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6" w:tplc="E79A8E56">
      <w:start w:val="1"/>
      <w:numFmt w:val="bullet"/>
      <w:lvlText w:val="•"/>
      <w:lvlJc w:val="left"/>
      <w:pPr>
        <w:ind w:left="5758" w:hanging="425"/>
      </w:pPr>
      <w:rPr>
        <w:rFonts w:hint="default"/>
      </w:rPr>
    </w:lvl>
    <w:lvl w:ilvl="7" w:tplc="FC8C2492">
      <w:start w:val="1"/>
      <w:numFmt w:val="bullet"/>
      <w:lvlText w:val="•"/>
      <w:lvlJc w:val="left"/>
      <w:pPr>
        <w:ind w:left="7080" w:hanging="425"/>
      </w:pPr>
      <w:rPr>
        <w:rFonts w:hint="default"/>
      </w:rPr>
    </w:lvl>
    <w:lvl w:ilvl="8" w:tplc="7792BB2C">
      <w:start w:val="1"/>
      <w:numFmt w:val="bullet"/>
      <w:lvlText w:val="•"/>
      <w:lvlJc w:val="left"/>
      <w:pPr>
        <w:ind w:left="8402" w:hanging="425"/>
      </w:pPr>
      <w:rPr>
        <w:rFonts w:hint="default"/>
      </w:rPr>
    </w:lvl>
  </w:abstractNum>
  <w:abstractNum w:abstractNumId="2" w15:restartNumberingAfterBreak="0">
    <w:nsid w:val="26967BDF"/>
    <w:multiLevelType w:val="hybridMultilevel"/>
    <w:tmpl w:val="E760D440"/>
    <w:lvl w:ilvl="0" w:tplc="0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2ECF6E47"/>
    <w:multiLevelType w:val="hybridMultilevel"/>
    <w:tmpl w:val="AA7266C6"/>
    <w:lvl w:ilvl="0" w:tplc="ADE0125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24AA8"/>
    <w:multiLevelType w:val="hybridMultilevel"/>
    <w:tmpl w:val="5C50E45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FC2B86"/>
    <w:multiLevelType w:val="hybridMultilevel"/>
    <w:tmpl w:val="2D42B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C34F9"/>
    <w:multiLevelType w:val="hybridMultilevel"/>
    <w:tmpl w:val="E3A0F5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A4DC4"/>
    <w:multiLevelType w:val="hybridMultilevel"/>
    <w:tmpl w:val="353A8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0B"/>
    <w:rsid w:val="00032B15"/>
    <w:rsid w:val="00035A5F"/>
    <w:rsid w:val="00045B7B"/>
    <w:rsid w:val="000511D6"/>
    <w:rsid w:val="00062C50"/>
    <w:rsid w:val="00105775"/>
    <w:rsid w:val="00195A52"/>
    <w:rsid w:val="001C2547"/>
    <w:rsid w:val="001F388F"/>
    <w:rsid w:val="0020108E"/>
    <w:rsid w:val="0026376D"/>
    <w:rsid w:val="0026722F"/>
    <w:rsid w:val="00267F95"/>
    <w:rsid w:val="0031502F"/>
    <w:rsid w:val="003F188D"/>
    <w:rsid w:val="004258CE"/>
    <w:rsid w:val="0048224A"/>
    <w:rsid w:val="00532797"/>
    <w:rsid w:val="005D771B"/>
    <w:rsid w:val="006237B7"/>
    <w:rsid w:val="006548BC"/>
    <w:rsid w:val="00681866"/>
    <w:rsid w:val="006F2D64"/>
    <w:rsid w:val="00713B66"/>
    <w:rsid w:val="007366AE"/>
    <w:rsid w:val="00742A39"/>
    <w:rsid w:val="007E4678"/>
    <w:rsid w:val="008270D5"/>
    <w:rsid w:val="00870702"/>
    <w:rsid w:val="008A6587"/>
    <w:rsid w:val="008B4BAF"/>
    <w:rsid w:val="008D46BC"/>
    <w:rsid w:val="0093701C"/>
    <w:rsid w:val="009639FA"/>
    <w:rsid w:val="00964F8F"/>
    <w:rsid w:val="009A4158"/>
    <w:rsid w:val="009D56B0"/>
    <w:rsid w:val="00A1650B"/>
    <w:rsid w:val="00A715FA"/>
    <w:rsid w:val="00A972E3"/>
    <w:rsid w:val="00B3270E"/>
    <w:rsid w:val="00B73DCC"/>
    <w:rsid w:val="00BC30F3"/>
    <w:rsid w:val="00C170A9"/>
    <w:rsid w:val="00C638EB"/>
    <w:rsid w:val="00C924E8"/>
    <w:rsid w:val="00CD54C8"/>
    <w:rsid w:val="00D16F91"/>
    <w:rsid w:val="00D23522"/>
    <w:rsid w:val="00E311E6"/>
    <w:rsid w:val="00E56231"/>
    <w:rsid w:val="00E8232E"/>
    <w:rsid w:val="00F35E44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173E73"/>
  <w15:docId w15:val="{717B1C63-C63D-4792-AEAA-4D7D2C74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0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2E3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972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2E3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E3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42A39"/>
    <w:rPr>
      <w:color w:val="808080"/>
    </w:rPr>
  </w:style>
  <w:style w:type="table" w:styleId="TableGrid">
    <w:name w:val="Table Grid"/>
    <w:basedOn w:val="TableNormal"/>
    <w:uiPriority w:val="59"/>
    <w:rsid w:val="00CD5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37" ma:contentTypeDescription="" ma:contentTypeScope="" ma:versionID="ca2fc16908aebea7ef4bfbac287f14c0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5c0169d0135c63d1b012913229252c3f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3Comments xmlns="http://schemas.microsoft.com/sharepoint/v3" xsi:nil="true"/>
    <_dlc_DocId xmlns="02b462e0-950b-4d18-8f56-efe6ec8fd98e">COMMUNITY-101306793-18160</_dlc_DocId>
    <_dlc_DocIdUrl xmlns="02b462e0-950b-4d18-8f56-efe6ec8fd98e">
      <Url>https://nedlands365.sharepoint.com/sites/community/communications/_layouts/15/DocIdRedir.aspx?ID=COMMUNITY-101306793-18160</Url>
      <Description>COMMUNITY-101306793-18160</Description>
    </_dlc_DocIdUrl>
    <TaxCatchAll xmlns="02b462e0-950b-4d18-8f56-efe6ec8fd98e">
      <Value>20</Value>
      <Value>40</Value>
      <Value>22</Value>
      <Value>1</Value>
    </TaxCatchAl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3738A-AB9D-43E1-A9C6-AA7B0B4A52C1}"/>
</file>

<file path=customXml/itemProps2.xml><?xml version="1.0" encoding="utf-8"?>
<ds:datastoreItem xmlns:ds="http://schemas.openxmlformats.org/officeDocument/2006/customXml" ds:itemID="{E6F4504E-D517-4AA2-A2B7-0D331B2EC0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9A4066-D664-465A-BE55-6570D0D72D3B}">
  <ds:schemaRefs>
    <ds:schemaRef ds:uri="http://schemas.microsoft.com/office/2006/documentManagement/types"/>
    <ds:schemaRef ds:uri="16b299da-efff-467e-8964-3a25906f9acc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sharepoint/v3"/>
    <ds:schemaRef ds:uri="6c08273c-a1a1-4ce8-8f63-c8a7ddb02d1f"/>
    <ds:schemaRef ds:uri="http://schemas.openxmlformats.org/package/2006/metadata/core-properties"/>
    <ds:schemaRef ds:uri="http://schemas.microsoft.com/office/2006/metadata/properties"/>
    <ds:schemaRef ds:uri="8a4bd8d6-86f1-4ba8-9f4e-7cee871089f7"/>
    <ds:schemaRef ds:uri="e6b551b5-be12-44ba-a541-e1bd15dd702d"/>
    <ds:schemaRef ds:uri="6bc39911-04a3-4d44-b26a-af4af919488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6D90343-7BC4-42CA-9404-95828D8B87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087BEA-C8A8-4756-A869-359239A9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Superannuation Contributions Council Policy</vt:lpstr>
    </vt:vector>
  </TitlesOfParts>
  <Company>City of Nedlands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ekenworthy</dc:creator>
  <cp:keywords/>
  <dc:description/>
  <cp:lastModifiedBy>Nicole Ceric</cp:lastModifiedBy>
  <cp:revision>2</cp:revision>
  <cp:lastPrinted>2013-09-17T04:54:00Z</cp:lastPrinted>
  <dcterms:created xsi:type="dcterms:W3CDTF">2020-05-13T04:40:00Z</dcterms:created>
  <dcterms:modified xsi:type="dcterms:W3CDTF">2020-05-13T04:40:00Z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7fb492a6-9a46-4a8a-8969-36a9f405a217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CDMS Site">
    <vt:lpwstr>26;#Council Policies ＆ Procedures|baa8bde5-3a7d-4bc1-8168-59ca23afe7ea</vt:lpwstr>
  </property>
  <property fmtid="{D5CDD505-2E9C-101B-9397-08002B2CF9AE}" pid="6" name="Issuing Department">
    <vt:lpwstr>14;#CEO Office|0a47549c-d16f-4bcb-97a5-078238eb3476</vt:lpwstr>
  </property>
  <property fmtid="{D5CDD505-2E9C-101B-9397-08002B2CF9AE}" pid="7" name="Document Type">
    <vt:lpwstr>3;#Policy|29c59565-5fe0-46cf-a0e7-238ef69c766b</vt:lpwstr>
  </property>
  <property fmtid="{D5CDD505-2E9C-101B-9397-08002B2CF9AE}" pid="8" name="Drafts - Approval Processing">
    <vt:lpwstr>, </vt:lpwstr>
  </property>
  <property fmtid="{D5CDD505-2E9C-101B-9397-08002B2CF9AE}" pid="9" name="Function">
    <vt:lpwstr>22;#Community Relations|00c33994-667c-4fea-8cff-18d8a788bccc</vt:lpwstr>
  </property>
  <property fmtid="{D5CDD505-2E9C-101B-9397-08002B2CF9AE}" pid="10" name="Activity">
    <vt:lpwstr>40;#Marketing|ab9aa8f8-a547-449a-a50a-7f6d3aef1950</vt:lpwstr>
  </property>
  <property fmtid="{D5CDD505-2E9C-101B-9397-08002B2CF9AE}" pid="11" name="Subject Matter">
    <vt:lpwstr/>
  </property>
  <property fmtid="{D5CDD505-2E9C-101B-9397-08002B2CF9AE}" pid="12" name="eDMS Site">
    <vt:lpwstr>20;#Communications|d1017bbf-fba7-4bc6-ae83-6802ffc81c2c</vt:lpwstr>
  </property>
  <property fmtid="{D5CDD505-2E9C-101B-9397-08002B2CF9AE}" pid="13" name="document set status previous">
    <vt:lpwstr>Active</vt:lpwstr>
  </property>
</Properties>
</file>